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B38D" w14:textId="5473B98C" w:rsidR="00652C48" w:rsidRPr="00B317DB" w:rsidRDefault="00CF6E89" w:rsidP="00F26C6D">
      <w:pPr>
        <w:spacing w:after="0"/>
        <w:jc w:val="center"/>
        <w:rPr>
          <w:b/>
          <w:u w:val="single"/>
        </w:rPr>
      </w:pPr>
      <w:bookmarkStart w:id="0" w:name="_GoBack"/>
      <w:bookmarkEnd w:id="0"/>
      <w:r>
        <w:rPr>
          <w:b/>
          <w:u w:val="single"/>
        </w:rPr>
        <w:t xml:space="preserve">WILCON DEPOT POSTS </w:t>
      </w:r>
      <w:r w:rsidR="00DC2007">
        <w:rPr>
          <w:b/>
          <w:u w:val="single"/>
        </w:rPr>
        <w:t xml:space="preserve">A </w:t>
      </w:r>
      <w:r>
        <w:rPr>
          <w:b/>
          <w:u w:val="single"/>
        </w:rPr>
        <w:t>SOLID P</w:t>
      </w:r>
      <w:r w:rsidR="00B637E0">
        <w:rPr>
          <w:b/>
          <w:u w:val="single"/>
        </w:rPr>
        <w:t>1.835 B NET INCOME FOR 2018</w:t>
      </w:r>
    </w:p>
    <w:p w14:paraId="05F6EA36" w14:textId="77777777" w:rsidR="00B317DB" w:rsidRDefault="00B317DB" w:rsidP="000E4889">
      <w:pPr>
        <w:spacing w:after="0"/>
        <w:jc w:val="both"/>
      </w:pPr>
    </w:p>
    <w:p w14:paraId="466D8735" w14:textId="269B9E00" w:rsidR="004C2175" w:rsidRDefault="004C2175" w:rsidP="000E4889">
      <w:pPr>
        <w:pStyle w:val="ListParagraph"/>
        <w:numPr>
          <w:ilvl w:val="0"/>
          <w:numId w:val="1"/>
        </w:numPr>
        <w:spacing w:after="0"/>
        <w:jc w:val="both"/>
      </w:pPr>
      <w:r>
        <w:t xml:space="preserve">Net Income </w:t>
      </w:r>
      <w:r w:rsidR="00911EF8">
        <w:t>grew</w:t>
      </w:r>
      <w:r w:rsidR="00B317DB">
        <w:t xml:space="preserve"> </w:t>
      </w:r>
      <w:r w:rsidR="00B637E0">
        <w:t>32.5</w:t>
      </w:r>
      <w:r>
        <w:t>% y-o-y to P1.</w:t>
      </w:r>
      <w:r w:rsidR="00B637E0">
        <w:t>835</w:t>
      </w:r>
      <w:r>
        <w:t xml:space="preserve"> billion </w:t>
      </w:r>
      <w:r w:rsidR="00DC2007">
        <w:t xml:space="preserve">or P0.45 per share </w:t>
      </w:r>
      <w:r>
        <w:t xml:space="preserve">for a net margin of </w:t>
      </w:r>
      <w:r w:rsidR="00B637E0">
        <w:t>8.7</w:t>
      </w:r>
      <w:r>
        <w:t>%</w:t>
      </w:r>
      <w:r w:rsidR="00EA4AE0">
        <w:t xml:space="preserve"> </w:t>
      </w:r>
    </w:p>
    <w:p w14:paraId="5A7877F4" w14:textId="72C6A32B" w:rsidR="004C2175" w:rsidRDefault="004C2175" w:rsidP="000E4889">
      <w:pPr>
        <w:pStyle w:val="ListParagraph"/>
        <w:numPr>
          <w:ilvl w:val="0"/>
          <w:numId w:val="1"/>
        </w:numPr>
        <w:spacing w:after="0"/>
        <w:jc w:val="both"/>
      </w:pPr>
      <w:r>
        <w:t xml:space="preserve">Net Sales increased </w:t>
      </w:r>
      <w:r w:rsidR="00B637E0">
        <w:t>18.6</w:t>
      </w:r>
      <w:r>
        <w:t>% y-o-y to P</w:t>
      </w:r>
      <w:r w:rsidR="00B637E0">
        <w:t xml:space="preserve">21.041 </w:t>
      </w:r>
      <w:r>
        <w:t>billion with a comparable sales growth o</w:t>
      </w:r>
      <w:r w:rsidR="00D72E3A">
        <w:t>f</w:t>
      </w:r>
      <w:r>
        <w:t xml:space="preserve"> 8.</w:t>
      </w:r>
      <w:r w:rsidR="00B637E0">
        <w:t>0</w:t>
      </w:r>
      <w:r>
        <w:t>%</w:t>
      </w:r>
    </w:p>
    <w:p w14:paraId="541A2AA6" w14:textId="556B51EA" w:rsidR="004C2175" w:rsidRDefault="004C2175" w:rsidP="000E4889">
      <w:pPr>
        <w:pStyle w:val="ListParagraph"/>
        <w:numPr>
          <w:ilvl w:val="0"/>
          <w:numId w:val="1"/>
        </w:numPr>
        <w:spacing w:after="0"/>
        <w:jc w:val="both"/>
      </w:pPr>
      <w:r>
        <w:t xml:space="preserve">Gross profit </w:t>
      </w:r>
      <w:r w:rsidR="00B317DB">
        <w:t>margin improved to 31.</w:t>
      </w:r>
      <w:r w:rsidR="00B637E0">
        <w:t>4</w:t>
      </w:r>
      <w:r w:rsidR="00B317DB">
        <w:t xml:space="preserve">% from </w:t>
      </w:r>
      <w:r w:rsidR="009F10FD">
        <w:t>29.7</w:t>
      </w:r>
      <w:r w:rsidR="00B317DB">
        <w:t>% in 2017 as gross profit rose 2</w:t>
      </w:r>
      <w:r w:rsidR="009F10FD">
        <w:t>5</w:t>
      </w:r>
      <w:r w:rsidR="00B317DB">
        <w:t>.</w:t>
      </w:r>
      <w:r w:rsidR="009F10FD">
        <w:t>4</w:t>
      </w:r>
      <w:r w:rsidR="00B317DB">
        <w:t>% y-o-y</w:t>
      </w:r>
    </w:p>
    <w:p w14:paraId="43571476" w14:textId="7EB8D0D3" w:rsidR="00B82F1E" w:rsidRDefault="00B82F1E" w:rsidP="000E4889">
      <w:pPr>
        <w:spacing w:after="0"/>
        <w:jc w:val="both"/>
      </w:pPr>
    </w:p>
    <w:p w14:paraId="6F309A9C" w14:textId="77777777" w:rsidR="00B065C1" w:rsidRDefault="00B82F1E" w:rsidP="00B60561">
      <w:pPr>
        <w:spacing w:after="0"/>
        <w:jc w:val="both"/>
      </w:pPr>
      <w:proofErr w:type="spellStart"/>
      <w:r>
        <w:t>Wilcon</w:t>
      </w:r>
      <w:proofErr w:type="spellEnd"/>
      <w:r>
        <w:t xml:space="preserve"> Depot, Inc. (</w:t>
      </w:r>
      <w:proofErr w:type="gramStart"/>
      <w:r>
        <w:t>P</w:t>
      </w:r>
      <w:r w:rsidR="00FA6C8C">
        <w:t>SE:WLCON</w:t>
      </w:r>
      <w:proofErr w:type="gramEnd"/>
      <w:r>
        <w:t xml:space="preserve">) </w:t>
      </w:r>
      <w:r w:rsidR="00DC2007">
        <w:t xml:space="preserve">reported a net income of P1.835 billion or P0.45 per share from </w:t>
      </w:r>
      <w:r w:rsidR="00771CE9">
        <w:t>net sales of P21.041 billion for the full year 2018</w:t>
      </w:r>
      <w:r w:rsidR="00911847">
        <w:t xml:space="preserve"> for a</w:t>
      </w:r>
      <w:r w:rsidR="00B60561">
        <w:t xml:space="preserve"> net margin of 8.7%</w:t>
      </w:r>
      <w:r w:rsidR="00771CE9">
        <w:t>.  This represents a 32.5% or P</w:t>
      </w:r>
      <w:r w:rsidR="00D5640C">
        <w:t>450</w:t>
      </w:r>
      <w:r w:rsidR="00843069">
        <w:t xml:space="preserve"> million jump from the full year 2017 net income of P1.385 billion</w:t>
      </w:r>
      <w:r w:rsidR="00B60561">
        <w:t xml:space="preserve"> or P0.37 per share with a net margin of 7.8%</w:t>
      </w:r>
      <w:r w:rsidR="00843069">
        <w:t xml:space="preserve">.  </w:t>
      </w:r>
    </w:p>
    <w:p w14:paraId="0B24B9F2" w14:textId="1796AE3F" w:rsidR="00B60561" w:rsidRDefault="00B60561" w:rsidP="00B60561">
      <w:pPr>
        <w:spacing w:after="0"/>
        <w:jc w:val="both"/>
      </w:pPr>
      <w:proofErr w:type="spellStart"/>
      <w:r>
        <w:t>Wilcon</w:t>
      </w:r>
      <w:proofErr w:type="spellEnd"/>
      <w:r>
        <w:t xml:space="preserve"> was able to sustain and build on its 2018 nine-month performance, generating P446 million in net earnings i</w:t>
      </w:r>
      <w:r w:rsidR="00936394">
        <w:t>n the fourth quarter, up 66.6</w:t>
      </w:r>
      <w:r>
        <w:t xml:space="preserve">% or P178 million year-on-year.  </w:t>
      </w:r>
    </w:p>
    <w:p w14:paraId="6DAC03B5" w14:textId="1651F7CF" w:rsidR="0053181A" w:rsidRDefault="00BA4C5F" w:rsidP="000E4889">
      <w:pPr>
        <w:spacing w:after="0"/>
        <w:jc w:val="both"/>
      </w:pPr>
      <w:r>
        <w:t xml:space="preserve"> </w:t>
      </w:r>
    </w:p>
    <w:p w14:paraId="42B5BCFF" w14:textId="0FD2DD1F" w:rsidR="0053181A" w:rsidRDefault="00C262F3" w:rsidP="000E4889">
      <w:pPr>
        <w:spacing w:after="0"/>
        <w:jc w:val="both"/>
      </w:pPr>
      <w:r>
        <w:t>Net sales for 2018</w:t>
      </w:r>
      <w:r w:rsidR="005B3720">
        <w:t xml:space="preserve"> </w:t>
      </w:r>
      <w:r w:rsidR="00AB1AF7">
        <w:t xml:space="preserve">of P21.041 billion </w:t>
      </w:r>
      <w:r w:rsidR="005B3720">
        <w:t>grew 18.6% or P3.294 billion</w:t>
      </w:r>
      <w:r w:rsidR="00AB1AF7">
        <w:t xml:space="preserve"> year-on-year</w:t>
      </w:r>
      <w:r w:rsidR="005B3720">
        <w:t xml:space="preserve">, </w:t>
      </w:r>
      <w:r w:rsidR="008F270D">
        <w:t xml:space="preserve">split between a </w:t>
      </w:r>
      <w:r w:rsidR="005B3720">
        <w:t xml:space="preserve">strong comparable sales growth of 8.0% and </w:t>
      </w:r>
      <w:r w:rsidR="00B60561">
        <w:t xml:space="preserve">the </w:t>
      </w:r>
      <w:r w:rsidR="005B3720">
        <w:t>opening and ramp up of new stores</w:t>
      </w:r>
      <w:r w:rsidR="008F270D">
        <w:t>, which accounted for 56.7% or P1.869 billion of the total growth.</w:t>
      </w:r>
      <w:r w:rsidR="005B3720">
        <w:t xml:space="preserve">  For the fourth quarter, </w:t>
      </w:r>
      <w:r w:rsidR="00AB1AF7">
        <w:t xml:space="preserve">net sales of P5.682 billion increased by 20.4% or P962 million year-on-year with </w:t>
      </w:r>
      <w:r w:rsidR="005B3720">
        <w:t>comparable sales growth improv</w:t>
      </w:r>
      <w:r w:rsidR="00AB1AF7">
        <w:t>ing</w:t>
      </w:r>
      <w:r w:rsidR="005B3720">
        <w:t xml:space="preserve"> to 7.4% from the third quarter’s 6.3%</w:t>
      </w:r>
      <w:r w:rsidR="00AB1AF7">
        <w:t xml:space="preserve">.  </w:t>
      </w:r>
      <w:r w:rsidR="0053181A">
        <w:t>Four</w:t>
      </w:r>
      <w:r w:rsidR="0042332F">
        <w:t xml:space="preserve"> </w:t>
      </w:r>
      <w:r w:rsidR="0053181A">
        <w:t xml:space="preserve">new </w:t>
      </w:r>
      <w:r w:rsidR="0042332F">
        <w:t>depot</w:t>
      </w:r>
      <w:r w:rsidR="0053181A">
        <w:t xml:space="preserve">s </w:t>
      </w:r>
      <w:r w:rsidR="0042332F">
        <w:t xml:space="preserve">were opened in the fourth quarter, bringing to eleven (11) the total number of new stores opened </w:t>
      </w:r>
      <w:r>
        <w:t>during</w:t>
      </w:r>
      <w:r w:rsidR="0042332F">
        <w:t xml:space="preserve"> the year with nine depots and two </w:t>
      </w:r>
      <w:r w:rsidR="007E3549">
        <w:t xml:space="preserve">smaller-format </w:t>
      </w:r>
      <w:r w:rsidR="001B5A3C">
        <w:t>H</w:t>
      </w:r>
      <w:r w:rsidR="007E3549">
        <w:t xml:space="preserve">ome </w:t>
      </w:r>
      <w:r w:rsidR="001B5A3C">
        <w:t>E</w:t>
      </w:r>
      <w:r w:rsidR="007E3549">
        <w:t>ssentials</w:t>
      </w:r>
      <w:r w:rsidR="0042332F">
        <w:t xml:space="preserve">.  </w:t>
      </w:r>
      <w:proofErr w:type="spellStart"/>
      <w:r w:rsidR="00232F43">
        <w:t>Wilcon</w:t>
      </w:r>
      <w:proofErr w:type="spellEnd"/>
      <w:r w:rsidR="00232F43">
        <w:t xml:space="preserve"> closed the year with 51 stores.</w:t>
      </w:r>
    </w:p>
    <w:p w14:paraId="6FFC4A17" w14:textId="3CB3371D" w:rsidR="00B065C1" w:rsidRDefault="00B065C1" w:rsidP="000E4889">
      <w:pPr>
        <w:spacing w:after="0"/>
        <w:jc w:val="both"/>
      </w:pPr>
    </w:p>
    <w:p w14:paraId="42561699" w14:textId="4C43302F" w:rsidR="00B065C1" w:rsidRDefault="007C53AC" w:rsidP="000E4889">
      <w:pPr>
        <w:spacing w:after="0"/>
        <w:jc w:val="both"/>
      </w:pPr>
      <w:r>
        <w:t>Depots</w:t>
      </w:r>
      <w:r w:rsidR="00B065C1">
        <w:t xml:space="preserve"> contributed </w:t>
      </w:r>
      <w:r w:rsidR="00A66A07">
        <w:t xml:space="preserve">the bulk </w:t>
      </w:r>
      <w:r>
        <w:t xml:space="preserve">or </w:t>
      </w:r>
      <w:r w:rsidR="00A66A07">
        <w:t xml:space="preserve">95.8% of total </w:t>
      </w:r>
      <w:r>
        <w:t>net sales with a same store sales growth (</w:t>
      </w:r>
      <w:proofErr w:type="spellStart"/>
      <w:r>
        <w:t>sssg</w:t>
      </w:r>
      <w:proofErr w:type="spellEnd"/>
      <w:r>
        <w:t>) of 9.5%</w:t>
      </w:r>
      <w:r w:rsidR="001B5A3C">
        <w:t xml:space="preserve"> for the year</w:t>
      </w:r>
      <w:r>
        <w:t>.  The smaller format</w:t>
      </w:r>
      <w:r w:rsidR="00A66A07">
        <w:t xml:space="preserve"> </w:t>
      </w:r>
      <w:r w:rsidR="001B5A3C">
        <w:t>H</w:t>
      </w:r>
      <w:r w:rsidR="00A66A07">
        <w:t xml:space="preserve">ome </w:t>
      </w:r>
      <w:r w:rsidR="001B5A3C">
        <w:t>E</w:t>
      </w:r>
      <w:r w:rsidR="00A66A07">
        <w:t>ssentials</w:t>
      </w:r>
      <w:r>
        <w:t xml:space="preserve">’ </w:t>
      </w:r>
      <w:r w:rsidR="000246EF">
        <w:t xml:space="preserve">2018 </w:t>
      </w:r>
      <w:proofErr w:type="spellStart"/>
      <w:r w:rsidR="00A36DE3">
        <w:t>sssg</w:t>
      </w:r>
      <w:proofErr w:type="spellEnd"/>
      <w:r w:rsidR="00A36DE3">
        <w:t xml:space="preserve"> reached 9.7</w:t>
      </w:r>
      <w:r>
        <w:t>%, contributing 2.9% of total net sales</w:t>
      </w:r>
      <w:r w:rsidR="001B5A3C">
        <w:t xml:space="preserve">, while sales to large projects contributed the remaining 1.3%. </w:t>
      </w:r>
      <w:r w:rsidR="000246EF">
        <w:t xml:space="preserve"> </w:t>
      </w:r>
    </w:p>
    <w:p w14:paraId="10B8F2BB" w14:textId="2037DD90" w:rsidR="009F10FD" w:rsidRDefault="009F10FD" w:rsidP="000E4889">
      <w:pPr>
        <w:spacing w:after="0"/>
        <w:jc w:val="both"/>
      </w:pPr>
    </w:p>
    <w:p w14:paraId="186EDD46" w14:textId="7620A8E2" w:rsidR="00ED241A" w:rsidRDefault="000246EF" w:rsidP="000E4889">
      <w:pPr>
        <w:spacing w:after="0"/>
        <w:jc w:val="both"/>
      </w:pPr>
      <w:r>
        <w:t xml:space="preserve">Gross profit </w:t>
      </w:r>
      <w:r w:rsidR="00FD31E1">
        <w:t xml:space="preserve">for the year amounted to P6.603 billion for a </w:t>
      </w:r>
      <w:r>
        <w:t xml:space="preserve">margin </w:t>
      </w:r>
      <w:r w:rsidR="00FD31E1">
        <w:t xml:space="preserve">of 31.4%, up 25.4% or P1.337 billion year-on-year. </w:t>
      </w:r>
      <w:r w:rsidR="00CF6613">
        <w:t xml:space="preserve"> </w:t>
      </w:r>
      <w:r w:rsidR="00FD31E1">
        <w:t>The</w:t>
      </w:r>
      <w:r w:rsidR="00843069">
        <w:t xml:space="preserve"> </w:t>
      </w:r>
      <w:r w:rsidR="006D5111">
        <w:t>gross margin expansion</w:t>
      </w:r>
      <w:r w:rsidR="00CC03F4">
        <w:t xml:space="preserve"> </w:t>
      </w:r>
      <w:r w:rsidR="00FD31E1">
        <w:t xml:space="preserve">was sustained as </w:t>
      </w:r>
      <w:r w:rsidR="00CC03F4">
        <w:t xml:space="preserve">the target product mix </w:t>
      </w:r>
      <w:r w:rsidR="00FD31E1">
        <w:t>was exceeded with in-house and exclusive brands contributing 46.9% of total net sales for the year</w:t>
      </w:r>
      <w:r w:rsidR="00CF6613">
        <w:t xml:space="preserve"> and by increased v</w:t>
      </w:r>
      <w:r w:rsidR="00FD31E1">
        <w:t>olume-related discounts f</w:t>
      </w:r>
      <w:r w:rsidR="00CF6613">
        <w:t>rom</w:t>
      </w:r>
      <w:r w:rsidR="00FD31E1">
        <w:t xml:space="preserve"> non-exclusive brands</w:t>
      </w:r>
      <w:r w:rsidR="00CF6613">
        <w:t xml:space="preserve">.  </w:t>
      </w:r>
    </w:p>
    <w:p w14:paraId="42A96179" w14:textId="770D453B" w:rsidR="00CC03F4" w:rsidRDefault="00CC03F4" w:rsidP="000E4889">
      <w:pPr>
        <w:spacing w:after="0"/>
        <w:jc w:val="both"/>
      </w:pPr>
    </w:p>
    <w:p w14:paraId="276E7AF3" w14:textId="04E3C4B9" w:rsidR="00C408DB" w:rsidRDefault="001D7A95" w:rsidP="000E4889">
      <w:pPr>
        <w:spacing w:after="0"/>
        <w:jc w:val="both"/>
      </w:pPr>
      <w:r>
        <w:t xml:space="preserve">Operating expenses grew </w:t>
      </w:r>
      <w:r w:rsidR="00141F4C">
        <w:t xml:space="preserve">29.5% or P291 million in the fourth quarter to close total </w:t>
      </w:r>
      <w:proofErr w:type="spellStart"/>
      <w:r w:rsidR="00F55A50">
        <w:t>o</w:t>
      </w:r>
      <w:r w:rsidR="00141F4C">
        <w:t>pex</w:t>
      </w:r>
      <w:proofErr w:type="spellEnd"/>
      <w:r w:rsidR="00141F4C">
        <w:t xml:space="preserve"> at P4.421 billion for the year, up 22.9% or P825 million year-on-year.  </w:t>
      </w:r>
      <w:r w:rsidR="00F55A50">
        <w:t xml:space="preserve">Increases in salaries, rent, utilities and trucking expenses accounted for the majority of the total hike in </w:t>
      </w:r>
      <w:proofErr w:type="spellStart"/>
      <w:r w:rsidR="00F55A50">
        <w:t>opex</w:t>
      </w:r>
      <w:proofErr w:type="spellEnd"/>
      <w:r w:rsidR="00F55A50">
        <w:t xml:space="preserve"> due primarily to the new store openings.</w:t>
      </w:r>
    </w:p>
    <w:p w14:paraId="245D47E8" w14:textId="299C6048" w:rsidR="00013800" w:rsidRDefault="00013800" w:rsidP="000E4889">
      <w:pPr>
        <w:spacing w:after="0"/>
        <w:jc w:val="both"/>
      </w:pPr>
    </w:p>
    <w:p w14:paraId="39D91658" w14:textId="3A35D314" w:rsidR="006362F4" w:rsidRDefault="006362F4" w:rsidP="00D21B8C">
      <w:pPr>
        <w:spacing w:after="0"/>
        <w:jc w:val="both"/>
      </w:pPr>
      <w:r>
        <w:t>Net o</w:t>
      </w:r>
      <w:r w:rsidR="00524D22">
        <w:t xml:space="preserve">ther income from </w:t>
      </w:r>
      <w:r>
        <w:t xml:space="preserve">merchandise and other </w:t>
      </w:r>
      <w:r w:rsidR="00524D22">
        <w:t>suppliers</w:t>
      </w:r>
      <w:r>
        <w:t xml:space="preserve"> amounted to P164 million in 2018 compared to P70 million in 2017.  The hike is traceable mainly to the increased volume of business and marketing activities.  Interest income also improved from P116 million in 2017 to P194 million at the close of the year.</w:t>
      </w:r>
    </w:p>
    <w:p w14:paraId="6F4458A3" w14:textId="77777777" w:rsidR="00D63227" w:rsidRDefault="00D63227" w:rsidP="002763B2">
      <w:pPr>
        <w:spacing w:after="0"/>
        <w:jc w:val="both"/>
      </w:pPr>
    </w:p>
    <w:p w14:paraId="2E4B62A3" w14:textId="5ADF3A76" w:rsidR="002763B2" w:rsidRDefault="009E4511" w:rsidP="002763B2">
      <w:pPr>
        <w:spacing w:after="0"/>
        <w:jc w:val="both"/>
      </w:pPr>
      <w:r>
        <w:t>In closing, Ms. Lorraine Belo-</w:t>
      </w:r>
      <w:proofErr w:type="spellStart"/>
      <w:r>
        <w:t>Cincochan</w:t>
      </w:r>
      <w:proofErr w:type="spellEnd"/>
      <w:r>
        <w:t xml:space="preserve">, CEO of the company said, </w:t>
      </w:r>
      <w:r w:rsidR="004A407C">
        <w:t>“</w:t>
      </w:r>
      <w:proofErr w:type="spellStart"/>
      <w:r w:rsidR="00D63227">
        <w:t>Wilcon</w:t>
      </w:r>
      <w:proofErr w:type="spellEnd"/>
      <w:r w:rsidR="00D63227">
        <w:t xml:space="preserve"> will continue with its store network expansion with a planned eight new depots to be opened in 2019.  We are also looking to expand existing stores with potential for higher growth.  We are set to open an additional distribution center this 2019 and expanding our main distribution center to accommodate the increased volume of business</w:t>
      </w:r>
      <w:r w:rsidR="004A407C">
        <w:t xml:space="preserve">.  We continue to look for probable areas for expansion beyond our committed 29 new depots </w:t>
      </w:r>
      <w:r w:rsidR="004A407C">
        <w:lastRenderedPageBreak/>
        <w:t xml:space="preserve">when we went public as we remain bullish on the growth potential of the economy in general and the consequent expansion of our target market.” </w:t>
      </w:r>
      <w:r>
        <w:t xml:space="preserve"> </w:t>
      </w:r>
    </w:p>
    <w:p w14:paraId="41074E22" w14:textId="77777777" w:rsidR="0060583F" w:rsidRDefault="0060583F" w:rsidP="002763B2">
      <w:pPr>
        <w:spacing w:after="0"/>
        <w:jc w:val="both"/>
      </w:pPr>
    </w:p>
    <w:p w14:paraId="5F2E995C" w14:textId="77777777" w:rsidR="00013800" w:rsidRDefault="00522C12" w:rsidP="00013800">
      <w:pPr>
        <w:spacing w:after="0"/>
        <w:jc w:val="both"/>
        <w:rPr>
          <w:b/>
        </w:rPr>
      </w:pPr>
      <w:r w:rsidRPr="00075E4A">
        <w:rPr>
          <w:b/>
        </w:rPr>
        <w:t>FINANCIAL HIGHLIGHTS:</w:t>
      </w:r>
    </w:p>
    <w:p w14:paraId="1454DB25" w14:textId="7A851975" w:rsidR="00522C12" w:rsidRDefault="00522C12" w:rsidP="00013800">
      <w:pPr>
        <w:spacing w:after="0"/>
        <w:jc w:val="both"/>
      </w:pPr>
      <w:r>
        <w:t>(In Million PHP)</w:t>
      </w:r>
    </w:p>
    <w:tbl>
      <w:tblPr>
        <w:tblStyle w:val="PlainTable31"/>
        <w:tblW w:w="8222" w:type="dxa"/>
        <w:tblLook w:val="0420" w:firstRow="1" w:lastRow="0" w:firstColumn="0" w:lastColumn="0" w:noHBand="0" w:noVBand="1"/>
      </w:tblPr>
      <w:tblGrid>
        <w:gridCol w:w="2552"/>
        <w:gridCol w:w="1276"/>
        <w:gridCol w:w="992"/>
        <w:gridCol w:w="142"/>
        <w:gridCol w:w="851"/>
        <w:gridCol w:w="142"/>
        <w:gridCol w:w="850"/>
        <w:gridCol w:w="283"/>
        <w:gridCol w:w="851"/>
        <w:gridCol w:w="283"/>
      </w:tblGrid>
      <w:tr w:rsidR="00522C12" w:rsidRPr="00075E4A" w14:paraId="4FD1D156" w14:textId="77777777" w:rsidTr="005F2940">
        <w:trPr>
          <w:gridAfter w:val="1"/>
          <w:cnfStyle w:val="100000000000" w:firstRow="1" w:lastRow="0" w:firstColumn="0" w:lastColumn="0" w:oddVBand="0" w:evenVBand="0" w:oddHBand="0" w:evenHBand="0" w:firstRowFirstColumn="0" w:firstRowLastColumn="0" w:lastRowFirstColumn="0" w:lastRowLastColumn="0"/>
          <w:wAfter w:w="283" w:type="dxa"/>
          <w:trHeight w:val="294"/>
        </w:trPr>
        <w:tc>
          <w:tcPr>
            <w:tcW w:w="2552" w:type="dxa"/>
            <w:noWrap/>
            <w:hideMark/>
          </w:tcPr>
          <w:p w14:paraId="1667CC7F" w14:textId="77777777" w:rsidR="00522C12" w:rsidRPr="00075E4A" w:rsidRDefault="00522C12" w:rsidP="000E4889">
            <w:pPr>
              <w:jc w:val="both"/>
              <w:rPr>
                <w:rFonts w:ascii="Times New Roman" w:eastAsia="Times New Roman" w:hAnsi="Times New Roman" w:cs="Times New Roman"/>
                <w:sz w:val="24"/>
                <w:szCs w:val="24"/>
                <w:lang w:eastAsia="en-PH"/>
              </w:rPr>
            </w:pPr>
          </w:p>
        </w:tc>
        <w:tc>
          <w:tcPr>
            <w:tcW w:w="1276" w:type="dxa"/>
            <w:noWrap/>
            <w:hideMark/>
          </w:tcPr>
          <w:p w14:paraId="271CE481" w14:textId="7D6110F5" w:rsidR="00522C12" w:rsidRPr="00075E4A" w:rsidRDefault="00522C12" w:rsidP="00353FDF">
            <w:pPr>
              <w:jc w:val="right"/>
              <w:rPr>
                <w:rFonts w:ascii="Calibri" w:eastAsia="Times New Roman" w:hAnsi="Calibri" w:cs="Times New Roman"/>
                <w:color w:val="000000"/>
                <w:sz w:val="20"/>
                <w:szCs w:val="20"/>
                <w:lang w:eastAsia="en-PH"/>
              </w:rPr>
            </w:pPr>
            <w:r w:rsidRPr="00075E4A">
              <w:rPr>
                <w:rFonts w:ascii="Calibri" w:eastAsia="Times New Roman" w:hAnsi="Calibri" w:cs="Times New Roman"/>
                <w:color w:val="000000"/>
                <w:sz w:val="20"/>
                <w:szCs w:val="20"/>
                <w:lang w:eastAsia="en-PH"/>
              </w:rPr>
              <w:t xml:space="preserve"> 2018</w:t>
            </w:r>
          </w:p>
        </w:tc>
        <w:tc>
          <w:tcPr>
            <w:tcW w:w="992" w:type="dxa"/>
            <w:noWrap/>
            <w:hideMark/>
          </w:tcPr>
          <w:p w14:paraId="1A76DD77" w14:textId="77777777" w:rsidR="00522C12" w:rsidRPr="00075E4A" w:rsidRDefault="00522C12" w:rsidP="00353FDF">
            <w:pPr>
              <w:jc w:val="right"/>
              <w:rPr>
                <w:rFonts w:ascii="Calibri" w:eastAsia="Times New Roman" w:hAnsi="Calibri" w:cs="Times New Roman"/>
                <w:color w:val="000000"/>
                <w:sz w:val="20"/>
                <w:szCs w:val="20"/>
                <w:lang w:eastAsia="en-PH"/>
              </w:rPr>
            </w:pPr>
            <w:r w:rsidRPr="00075E4A">
              <w:rPr>
                <w:rFonts w:ascii="Calibri" w:eastAsia="Times New Roman" w:hAnsi="Calibri" w:cs="Times New Roman"/>
                <w:color w:val="000000"/>
                <w:sz w:val="20"/>
                <w:szCs w:val="20"/>
                <w:lang w:eastAsia="en-PH"/>
              </w:rPr>
              <w:t>% of Sales</w:t>
            </w:r>
          </w:p>
        </w:tc>
        <w:tc>
          <w:tcPr>
            <w:tcW w:w="993" w:type="dxa"/>
            <w:gridSpan w:val="2"/>
            <w:noWrap/>
            <w:hideMark/>
          </w:tcPr>
          <w:p w14:paraId="5D1AE556" w14:textId="73D89D18" w:rsidR="00522C12" w:rsidRPr="00075E4A" w:rsidRDefault="00522C12" w:rsidP="00353FDF">
            <w:pPr>
              <w:jc w:val="right"/>
              <w:rPr>
                <w:rFonts w:ascii="Calibri" w:eastAsia="Times New Roman" w:hAnsi="Calibri" w:cs="Times New Roman"/>
                <w:color w:val="000000"/>
                <w:sz w:val="20"/>
                <w:szCs w:val="20"/>
                <w:lang w:eastAsia="en-PH"/>
              </w:rPr>
            </w:pPr>
            <w:r w:rsidRPr="00075E4A">
              <w:rPr>
                <w:rFonts w:ascii="Calibri" w:eastAsia="Times New Roman" w:hAnsi="Calibri" w:cs="Times New Roman"/>
                <w:color w:val="000000"/>
                <w:sz w:val="20"/>
                <w:szCs w:val="20"/>
                <w:lang w:eastAsia="en-PH"/>
              </w:rPr>
              <w:t xml:space="preserve"> 2017</w:t>
            </w:r>
          </w:p>
        </w:tc>
        <w:tc>
          <w:tcPr>
            <w:tcW w:w="992" w:type="dxa"/>
            <w:gridSpan w:val="2"/>
            <w:noWrap/>
            <w:hideMark/>
          </w:tcPr>
          <w:p w14:paraId="6BDCFC8A" w14:textId="77777777" w:rsidR="00522C12" w:rsidRPr="00075E4A" w:rsidRDefault="00522C12" w:rsidP="00353FDF">
            <w:pPr>
              <w:jc w:val="right"/>
              <w:rPr>
                <w:rFonts w:ascii="Calibri" w:eastAsia="Times New Roman" w:hAnsi="Calibri" w:cs="Times New Roman"/>
                <w:color w:val="000000"/>
                <w:sz w:val="20"/>
                <w:szCs w:val="20"/>
                <w:lang w:eastAsia="en-PH"/>
              </w:rPr>
            </w:pPr>
            <w:r w:rsidRPr="00075E4A">
              <w:rPr>
                <w:rFonts w:ascii="Calibri" w:eastAsia="Times New Roman" w:hAnsi="Calibri" w:cs="Times New Roman"/>
                <w:color w:val="000000"/>
                <w:sz w:val="20"/>
                <w:szCs w:val="20"/>
                <w:lang w:eastAsia="en-PH"/>
              </w:rPr>
              <w:t>% of Sales</w:t>
            </w:r>
          </w:p>
        </w:tc>
        <w:tc>
          <w:tcPr>
            <w:tcW w:w="1134" w:type="dxa"/>
            <w:gridSpan w:val="2"/>
            <w:noWrap/>
            <w:hideMark/>
          </w:tcPr>
          <w:p w14:paraId="17D13458" w14:textId="77777777" w:rsidR="00522C12" w:rsidRPr="00075E4A" w:rsidRDefault="00522C12" w:rsidP="00353FDF">
            <w:pPr>
              <w:jc w:val="right"/>
              <w:rPr>
                <w:rFonts w:ascii="Calibri" w:eastAsia="Times New Roman" w:hAnsi="Calibri" w:cs="Times New Roman"/>
                <w:color w:val="000000"/>
                <w:sz w:val="20"/>
                <w:szCs w:val="20"/>
                <w:lang w:eastAsia="en-PH"/>
              </w:rPr>
            </w:pPr>
            <w:r w:rsidRPr="00075E4A">
              <w:rPr>
                <w:rFonts w:ascii="Calibri" w:eastAsia="Times New Roman" w:hAnsi="Calibri" w:cs="Times New Roman"/>
                <w:color w:val="000000"/>
                <w:sz w:val="20"/>
                <w:szCs w:val="20"/>
                <w:lang w:eastAsia="en-PH"/>
              </w:rPr>
              <w:t>% GROWTH</w:t>
            </w:r>
          </w:p>
        </w:tc>
      </w:tr>
      <w:tr w:rsidR="000A1ABF" w:rsidRPr="00075E4A" w14:paraId="51CCA159" w14:textId="77777777" w:rsidTr="002763B2">
        <w:trPr>
          <w:cnfStyle w:val="000000100000" w:firstRow="0" w:lastRow="0" w:firstColumn="0" w:lastColumn="0" w:oddVBand="0" w:evenVBand="0" w:oddHBand="1" w:evenHBand="0" w:firstRowFirstColumn="0" w:firstRowLastColumn="0" w:lastRowFirstColumn="0" w:lastRowLastColumn="0"/>
          <w:trHeight w:val="294"/>
        </w:trPr>
        <w:tc>
          <w:tcPr>
            <w:tcW w:w="2552" w:type="dxa"/>
            <w:hideMark/>
          </w:tcPr>
          <w:p w14:paraId="3F58A104" w14:textId="6B76A626" w:rsidR="000A1ABF" w:rsidRPr="00075E4A" w:rsidRDefault="000A1ABF" w:rsidP="000E4889">
            <w:pPr>
              <w:jc w:val="both"/>
              <w:rPr>
                <w:rFonts w:ascii="Calibri" w:eastAsia="Times New Roman" w:hAnsi="Calibri" w:cs="Times New Roman"/>
                <w:b/>
                <w:bCs/>
                <w:color w:val="000000"/>
                <w:lang w:eastAsia="en-PH"/>
              </w:rPr>
            </w:pPr>
            <w:r w:rsidRPr="00075E4A">
              <w:rPr>
                <w:rFonts w:ascii="Calibri" w:eastAsia="Times New Roman" w:hAnsi="Calibri" w:cs="Times New Roman"/>
                <w:b/>
                <w:bCs/>
                <w:color w:val="000000"/>
                <w:lang w:eastAsia="en-PH"/>
              </w:rPr>
              <w:t>NET SALES</w:t>
            </w:r>
          </w:p>
        </w:tc>
        <w:tc>
          <w:tcPr>
            <w:tcW w:w="1276" w:type="dxa"/>
            <w:noWrap/>
          </w:tcPr>
          <w:p w14:paraId="4625E8F3" w14:textId="5ADC1470" w:rsidR="000A1ABF" w:rsidRPr="00075E4A" w:rsidRDefault="002763B2"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21,041</w:t>
            </w:r>
          </w:p>
        </w:tc>
        <w:tc>
          <w:tcPr>
            <w:tcW w:w="1134" w:type="dxa"/>
            <w:gridSpan w:val="2"/>
            <w:noWrap/>
            <w:hideMark/>
          </w:tcPr>
          <w:p w14:paraId="37668B98" w14:textId="79464646" w:rsidR="000A1ABF" w:rsidRPr="00075E4A" w:rsidRDefault="000A1ABF" w:rsidP="00353FDF">
            <w:pPr>
              <w:jc w:val="right"/>
              <w:rPr>
                <w:rFonts w:ascii="Calibri" w:eastAsia="Times New Roman" w:hAnsi="Calibri" w:cs="Times New Roman"/>
                <w:b/>
                <w:color w:val="000000"/>
                <w:lang w:eastAsia="en-PH"/>
              </w:rPr>
            </w:pPr>
            <w:r w:rsidRPr="00035AA6">
              <w:t xml:space="preserve"> 100.0 </w:t>
            </w:r>
          </w:p>
        </w:tc>
        <w:tc>
          <w:tcPr>
            <w:tcW w:w="993" w:type="dxa"/>
            <w:gridSpan w:val="2"/>
            <w:noWrap/>
          </w:tcPr>
          <w:p w14:paraId="74060D79" w14:textId="32A33A38" w:rsidR="000A1ABF" w:rsidRPr="00075E4A" w:rsidRDefault="002763B2"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17,748</w:t>
            </w:r>
          </w:p>
        </w:tc>
        <w:tc>
          <w:tcPr>
            <w:tcW w:w="1133" w:type="dxa"/>
            <w:gridSpan w:val="2"/>
            <w:noWrap/>
            <w:hideMark/>
          </w:tcPr>
          <w:p w14:paraId="273FD132" w14:textId="61E6F19B" w:rsidR="000A1ABF" w:rsidRPr="00075E4A" w:rsidRDefault="000A1ABF" w:rsidP="00353FDF">
            <w:pPr>
              <w:jc w:val="right"/>
              <w:rPr>
                <w:rFonts w:ascii="Calibri" w:eastAsia="Times New Roman" w:hAnsi="Calibri" w:cs="Times New Roman"/>
                <w:b/>
                <w:color w:val="000000"/>
                <w:lang w:eastAsia="en-PH"/>
              </w:rPr>
            </w:pPr>
            <w:r w:rsidRPr="00035AA6">
              <w:t xml:space="preserve"> 100.0 </w:t>
            </w:r>
          </w:p>
        </w:tc>
        <w:tc>
          <w:tcPr>
            <w:tcW w:w="1134" w:type="dxa"/>
            <w:gridSpan w:val="2"/>
            <w:noWrap/>
          </w:tcPr>
          <w:p w14:paraId="564936EA" w14:textId="5A9D620D" w:rsidR="000A1ABF" w:rsidRPr="00075E4A" w:rsidRDefault="003E30CD" w:rsidP="00353FDF">
            <w:pPr>
              <w:jc w:val="right"/>
              <w:rPr>
                <w:rFonts w:ascii="Calibri" w:eastAsia="Times New Roman" w:hAnsi="Calibri" w:cs="Times New Roman"/>
                <w:b/>
                <w:color w:val="000000"/>
                <w:sz w:val="20"/>
                <w:szCs w:val="20"/>
                <w:lang w:eastAsia="en-PH"/>
              </w:rPr>
            </w:pPr>
            <w:r>
              <w:rPr>
                <w:rFonts w:ascii="Calibri" w:eastAsia="Times New Roman" w:hAnsi="Calibri" w:cs="Times New Roman"/>
                <w:b/>
                <w:color w:val="000000"/>
                <w:sz w:val="20"/>
                <w:szCs w:val="20"/>
                <w:lang w:eastAsia="en-PH"/>
              </w:rPr>
              <w:t>18.6</w:t>
            </w:r>
          </w:p>
        </w:tc>
      </w:tr>
      <w:tr w:rsidR="000A1ABF" w:rsidRPr="00075E4A" w14:paraId="3C784010" w14:textId="77777777" w:rsidTr="002763B2">
        <w:trPr>
          <w:trHeight w:val="288"/>
        </w:trPr>
        <w:tc>
          <w:tcPr>
            <w:tcW w:w="2552" w:type="dxa"/>
            <w:hideMark/>
          </w:tcPr>
          <w:p w14:paraId="3256B437" w14:textId="77777777" w:rsidR="000A1ABF" w:rsidRPr="00075E4A" w:rsidRDefault="000A1ABF" w:rsidP="000E4889">
            <w:pPr>
              <w:jc w:val="both"/>
              <w:rPr>
                <w:rFonts w:ascii="Calibri" w:eastAsia="Times New Roman" w:hAnsi="Calibri" w:cs="Times New Roman"/>
                <w:color w:val="000000"/>
                <w:lang w:eastAsia="en-PH"/>
              </w:rPr>
            </w:pPr>
            <w:r w:rsidRPr="00075E4A">
              <w:rPr>
                <w:rFonts w:ascii="Calibri" w:eastAsia="Times New Roman" w:hAnsi="Calibri" w:cs="Times New Roman"/>
                <w:color w:val="000000"/>
                <w:lang w:eastAsia="en-PH"/>
              </w:rPr>
              <w:t>COST OF SALES</w:t>
            </w:r>
          </w:p>
        </w:tc>
        <w:tc>
          <w:tcPr>
            <w:tcW w:w="1276" w:type="dxa"/>
            <w:noWrap/>
          </w:tcPr>
          <w:p w14:paraId="434C7680" w14:textId="3BC64196"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w:t>
            </w:r>
            <w:r w:rsidR="002763B2">
              <w:rPr>
                <w:rFonts w:ascii="Calibri" w:eastAsia="Times New Roman" w:hAnsi="Calibri" w:cs="Times New Roman"/>
                <w:color w:val="000000"/>
                <w:lang w:eastAsia="en-PH"/>
              </w:rPr>
              <w:t>14,438</w:t>
            </w:r>
          </w:p>
        </w:tc>
        <w:tc>
          <w:tcPr>
            <w:tcW w:w="1134" w:type="dxa"/>
            <w:gridSpan w:val="2"/>
            <w:noWrap/>
          </w:tcPr>
          <w:p w14:paraId="676AE224" w14:textId="0079292B" w:rsidR="000A1ABF" w:rsidRPr="00075E4A" w:rsidRDefault="0033506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68.6</w:t>
            </w:r>
          </w:p>
        </w:tc>
        <w:tc>
          <w:tcPr>
            <w:tcW w:w="993" w:type="dxa"/>
            <w:gridSpan w:val="2"/>
            <w:noWrap/>
          </w:tcPr>
          <w:p w14:paraId="0A727086" w14:textId="3FCED921"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w:t>
            </w:r>
            <w:r w:rsidR="002763B2">
              <w:rPr>
                <w:rFonts w:ascii="Calibri" w:eastAsia="Times New Roman" w:hAnsi="Calibri" w:cs="Times New Roman"/>
                <w:color w:val="000000"/>
                <w:lang w:eastAsia="en-PH"/>
              </w:rPr>
              <w:t>12,482</w:t>
            </w:r>
          </w:p>
        </w:tc>
        <w:tc>
          <w:tcPr>
            <w:tcW w:w="1133" w:type="dxa"/>
            <w:gridSpan w:val="2"/>
            <w:noWrap/>
          </w:tcPr>
          <w:p w14:paraId="6353784E" w14:textId="6A6A812E" w:rsidR="000A1ABF" w:rsidRPr="00075E4A" w:rsidRDefault="0033506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70.3</w:t>
            </w:r>
          </w:p>
        </w:tc>
        <w:tc>
          <w:tcPr>
            <w:tcW w:w="1134" w:type="dxa"/>
            <w:gridSpan w:val="2"/>
            <w:noWrap/>
          </w:tcPr>
          <w:p w14:paraId="143B27F3" w14:textId="03BCC41C" w:rsidR="000A1ABF" w:rsidRPr="00075E4A" w:rsidRDefault="003E30CD" w:rsidP="00353FDF">
            <w:pPr>
              <w:jc w:val="right"/>
              <w:rPr>
                <w:rFonts w:ascii="Calibri" w:eastAsia="Times New Roman" w:hAnsi="Calibri" w:cs="Times New Roman"/>
                <w:color w:val="000000"/>
                <w:sz w:val="20"/>
                <w:szCs w:val="20"/>
                <w:lang w:eastAsia="en-PH"/>
              </w:rPr>
            </w:pPr>
            <w:r>
              <w:rPr>
                <w:rFonts w:ascii="Calibri" w:eastAsia="Times New Roman" w:hAnsi="Calibri" w:cs="Times New Roman"/>
                <w:color w:val="000000"/>
                <w:sz w:val="20"/>
                <w:szCs w:val="20"/>
                <w:lang w:eastAsia="en-PH"/>
              </w:rPr>
              <w:t>15.7</w:t>
            </w:r>
          </w:p>
        </w:tc>
      </w:tr>
      <w:tr w:rsidR="000A1ABF" w:rsidRPr="00075E4A" w14:paraId="3EBAA8D3" w14:textId="77777777" w:rsidTr="002763B2">
        <w:trPr>
          <w:cnfStyle w:val="000000100000" w:firstRow="0" w:lastRow="0" w:firstColumn="0" w:lastColumn="0" w:oddVBand="0" w:evenVBand="0" w:oddHBand="1" w:evenHBand="0" w:firstRowFirstColumn="0" w:firstRowLastColumn="0" w:lastRowFirstColumn="0" w:lastRowLastColumn="0"/>
          <w:trHeight w:val="288"/>
        </w:trPr>
        <w:tc>
          <w:tcPr>
            <w:tcW w:w="2552" w:type="dxa"/>
            <w:hideMark/>
          </w:tcPr>
          <w:p w14:paraId="6C3E74C9" w14:textId="713EB47A" w:rsidR="000A1ABF" w:rsidRPr="00075E4A" w:rsidRDefault="000A1ABF" w:rsidP="000E4889">
            <w:pPr>
              <w:jc w:val="both"/>
              <w:rPr>
                <w:rFonts w:ascii="Calibri" w:eastAsia="Times New Roman" w:hAnsi="Calibri" w:cs="Times New Roman"/>
                <w:b/>
                <w:bCs/>
                <w:color w:val="000000"/>
                <w:lang w:eastAsia="en-PH"/>
              </w:rPr>
            </w:pPr>
            <w:r w:rsidRPr="00075E4A">
              <w:rPr>
                <w:rFonts w:ascii="Calibri" w:eastAsia="Times New Roman" w:hAnsi="Calibri" w:cs="Times New Roman"/>
                <w:b/>
                <w:bCs/>
                <w:color w:val="000000"/>
                <w:lang w:eastAsia="en-PH"/>
              </w:rPr>
              <w:t>GROSS INCOME</w:t>
            </w:r>
          </w:p>
        </w:tc>
        <w:tc>
          <w:tcPr>
            <w:tcW w:w="1276" w:type="dxa"/>
            <w:noWrap/>
          </w:tcPr>
          <w:p w14:paraId="33132E18" w14:textId="4A060D6C" w:rsidR="000A1ABF" w:rsidRPr="00075E4A" w:rsidRDefault="002763B2"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6,603</w:t>
            </w:r>
          </w:p>
        </w:tc>
        <w:tc>
          <w:tcPr>
            <w:tcW w:w="1134" w:type="dxa"/>
            <w:gridSpan w:val="2"/>
            <w:noWrap/>
          </w:tcPr>
          <w:p w14:paraId="01DC17EE" w14:textId="5F9238D6" w:rsidR="000A1ABF" w:rsidRPr="00075E4A" w:rsidRDefault="00335065"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31.4</w:t>
            </w:r>
          </w:p>
        </w:tc>
        <w:tc>
          <w:tcPr>
            <w:tcW w:w="993" w:type="dxa"/>
            <w:gridSpan w:val="2"/>
            <w:noWrap/>
          </w:tcPr>
          <w:p w14:paraId="738EA454" w14:textId="6CADBAF4" w:rsidR="000A1ABF" w:rsidRPr="00075E4A" w:rsidRDefault="002763B2"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5,266</w:t>
            </w:r>
          </w:p>
        </w:tc>
        <w:tc>
          <w:tcPr>
            <w:tcW w:w="1133" w:type="dxa"/>
            <w:gridSpan w:val="2"/>
            <w:noWrap/>
          </w:tcPr>
          <w:p w14:paraId="4243246D" w14:textId="2EE42922" w:rsidR="000A1ABF" w:rsidRPr="00075E4A" w:rsidRDefault="00335065"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29.7</w:t>
            </w:r>
          </w:p>
        </w:tc>
        <w:tc>
          <w:tcPr>
            <w:tcW w:w="1134" w:type="dxa"/>
            <w:gridSpan w:val="2"/>
            <w:noWrap/>
          </w:tcPr>
          <w:p w14:paraId="24D94862" w14:textId="578ED4B5" w:rsidR="000A1ABF" w:rsidRPr="00075E4A" w:rsidRDefault="003E30CD" w:rsidP="00353FDF">
            <w:pPr>
              <w:jc w:val="right"/>
              <w:rPr>
                <w:rFonts w:ascii="Calibri" w:eastAsia="Times New Roman" w:hAnsi="Calibri" w:cs="Times New Roman"/>
                <w:b/>
                <w:color w:val="000000"/>
                <w:sz w:val="20"/>
                <w:szCs w:val="20"/>
                <w:lang w:eastAsia="en-PH"/>
              </w:rPr>
            </w:pPr>
            <w:r>
              <w:rPr>
                <w:rFonts w:ascii="Calibri" w:eastAsia="Times New Roman" w:hAnsi="Calibri" w:cs="Times New Roman"/>
                <w:b/>
                <w:color w:val="000000"/>
                <w:sz w:val="20"/>
                <w:szCs w:val="20"/>
                <w:lang w:eastAsia="en-PH"/>
              </w:rPr>
              <w:t>25.4</w:t>
            </w:r>
          </w:p>
        </w:tc>
      </w:tr>
      <w:tr w:rsidR="000A1ABF" w:rsidRPr="00075E4A" w14:paraId="270D867C" w14:textId="77777777" w:rsidTr="002763B2">
        <w:trPr>
          <w:trHeight w:val="288"/>
        </w:trPr>
        <w:tc>
          <w:tcPr>
            <w:tcW w:w="2552" w:type="dxa"/>
            <w:hideMark/>
          </w:tcPr>
          <w:p w14:paraId="19EB7C99" w14:textId="77777777" w:rsidR="000A1ABF" w:rsidRPr="00075E4A" w:rsidRDefault="000A1ABF" w:rsidP="000E4889">
            <w:pPr>
              <w:jc w:val="both"/>
              <w:rPr>
                <w:rFonts w:ascii="Calibri" w:eastAsia="Times New Roman" w:hAnsi="Calibri" w:cs="Times New Roman"/>
                <w:color w:val="000000"/>
                <w:lang w:eastAsia="en-PH"/>
              </w:rPr>
            </w:pPr>
            <w:r w:rsidRPr="00075E4A">
              <w:rPr>
                <w:rFonts w:ascii="Calibri" w:eastAsia="Times New Roman" w:hAnsi="Calibri" w:cs="Times New Roman"/>
                <w:color w:val="000000"/>
                <w:lang w:eastAsia="en-PH"/>
              </w:rPr>
              <w:t>OPERATING EXPENSES</w:t>
            </w:r>
          </w:p>
        </w:tc>
        <w:tc>
          <w:tcPr>
            <w:tcW w:w="1276" w:type="dxa"/>
            <w:noWrap/>
          </w:tcPr>
          <w:p w14:paraId="7A17BA2B" w14:textId="7D6CA552"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w:t>
            </w:r>
            <w:r w:rsidR="002763B2">
              <w:rPr>
                <w:rFonts w:ascii="Calibri" w:eastAsia="Times New Roman" w:hAnsi="Calibri" w:cs="Times New Roman"/>
                <w:color w:val="000000"/>
                <w:lang w:eastAsia="en-PH"/>
              </w:rPr>
              <w:t>4,421</w:t>
            </w:r>
          </w:p>
        </w:tc>
        <w:tc>
          <w:tcPr>
            <w:tcW w:w="1134" w:type="dxa"/>
            <w:gridSpan w:val="2"/>
            <w:noWrap/>
          </w:tcPr>
          <w:p w14:paraId="7B4DF37C" w14:textId="02FA1930" w:rsidR="000A1ABF" w:rsidRPr="00075E4A" w:rsidRDefault="0033506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21.0</w:t>
            </w:r>
          </w:p>
        </w:tc>
        <w:tc>
          <w:tcPr>
            <w:tcW w:w="993" w:type="dxa"/>
            <w:gridSpan w:val="2"/>
            <w:noWrap/>
          </w:tcPr>
          <w:p w14:paraId="7882E397" w14:textId="4C0F2EED"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w:t>
            </w:r>
            <w:r w:rsidR="002763B2">
              <w:rPr>
                <w:rFonts w:ascii="Calibri" w:eastAsia="Times New Roman" w:hAnsi="Calibri" w:cs="Times New Roman"/>
                <w:color w:val="000000"/>
                <w:lang w:eastAsia="en-PH"/>
              </w:rPr>
              <w:t>3,596</w:t>
            </w:r>
          </w:p>
        </w:tc>
        <w:tc>
          <w:tcPr>
            <w:tcW w:w="1133" w:type="dxa"/>
            <w:gridSpan w:val="2"/>
            <w:noWrap/>
          </w:tcPr>
          <w:p w14:paraId="50620852" w14:textId="728047AF" w:rsidR="000A1ABF" w:rsidRPr="00075E4A" w:rsidRDefault="0033506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20.3</w:t>
            </w:r>
          </w:p>
        </w:tc>
        <w:tc>
          <w:tcPr>
            <w:tcW w:w="1134" w:type="dxa"/>
            <w:gridSpan w:val="2"/>
            <w:noWrap/>
          </w:tcPr>
          <w:p w14:paraId="5BE6245A" w14:textId="309E5C24" w:rsidR="000A1ABF" w:rsidRPr="00075E4A" w:rsidRDefault="003E30CD" w:rsidP="00353FDF">
            <w:pPr>
              <w:jc w:val="right"/>
              <w:rPr>
                <w:rFonts w:ascii="Calibri" w:eastAsia="Times New Roman" w:hAnsi="Calibri" w:cs="Times New Roman"/>
                <w:color w:val="000000"/>
                <w:sz w:val="20"/>
                <w:szCs w:val="20"/>
                <w:lang w:eastAsia="en-PH"/>
              </w:rPr>
            </w:pPr>
            <w:r>
              <w:rPr>
                <w:rFonts w:ascii="Calibri" w:eastAsia="Times New Roman" w:hAnsi="Calibri" w:cs="Times New Roman"/>
                <w:color w:val="000000"/>
                <w:sz w:val="20"/>
                <w:szCs w:val="20"/>
                <w:lang w:eastAsia="en-PH"/>
              </w:rPr>
              <w:t>22.9</w:t>
            </w:r>
          </w:p>
        </w:tc>
      </w:tr>
      <w:tr w:rsidR="000A1ABF" w:rsidRPr="00075E4A" w14:paraId="454405D5" w14:textId="77777777" w:rsidTr="002763B2">
        <w:trPr>
          <w:cnfStyle w:val="000000100000" w:firstRow="0" w:lastRow="0" w:firstColumn="0" w:lastColumn="0" w:oddVBand="0" w:evenVBand="0" w:oddHBand="1" w:evenHBand="0" w:firstRowFirstColumn="0" w:firstRowLastColumn="0" w:lastRowFirstColumn="0" w:lastRowLastColumn="0"/>
          <w:trHeight w:val="288"/>
        </w:trPr>
        <w:tc>
          <w:tcPr>
            <w:tcW w:w="2552" w:type="dxa"/>
            <w:hideMark/>
          </w:tcPr>
          <w:p w14:paraId="4CED0B34" w14:textId="77777777" w:rsidR="000A1ABF" w:rsidRPr="00075E4A" w:rsidRDefault="000A1ABF" w:rsidP="000E4889">
            <w:pPr>
              <w:jc w:val="both"/>
              <w:rPr>
                <w:rFonts w:ascii="Calibri" w:eastAsia="Times New Roman" w:hAnsi="Calibri" w:cs="Times New Roman"/>
                <w:bCs/>
                <w:color w:val="000000"/>
                <w:lang w:eastAsia="en-PH"/>
              </w:rPr>
            </w:pPr>
            <w:r w:rsidRPr="00075E4A">
              <w:rPr>
                <w:rFonts w:ascii="Calibri" w:eastAsia="Times New Roman" w:hAnsi="Calibri" w:cs="Times New Roman"/>
                <w:bCs/>
                <w:color w:val="000000"/>
                <w:lang w:eastAsia="en-PH"/>
              </w:rPr>
              <w:t xml:space="preserve">OTHER INCOME </w:t>
            </w:r>
            <w:r>
              <w:rPr>
                <w:rFonts w:ascii="Calibri" w:eastAsia="Times New Roman" w:hAnsi="Calibri" w:cs="Times New Roman"/>
                <w:bCs/>
                <w:color w:val="000000"/>
                <w:lang w:eastAsia="en-PH"/>
              </w:rPr>
              <w:t>–</w:t>
            </w:r>
            <w:r w:rsidRPr="00075E4A">
              <w:rPr>
                <w:rFonts w:ascii="Calibri" w:eastAsia="Times New Roman" w:hAnsi="Calibri" w:cs="Times New Roman"/>
                <w:bCs/>
                <w:color w:val="000000"/>
                <w:lang w:eastAsia="en-PH"/>
              </w:rPr>
              <w:t xml:space="preserve"> NET</w:t>
            </w:r>
          </w:p>
        </w:tc>
        <w:tc>
          <w:tcPr>
            <w:tcW w:w="1276" w:type="dxa"/>
            <w:noWrap/>
          </w:tcPr>
          <w:p w14:paraId="3CD3A0A8" w14:textId="530CCCD9" w:rsidR="000A1ABF" w:rsidRPr="00075E4A" w:rsidRDefault="002763B2"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359</w:t>
            </w:r>
          </w:p>
        </w:tc>
        <w:tc>
          <w:tcPr>
            <w:tcW w:w="1134" w:type="dxa"/>
            <w:gridSpan w:val="2"/>
            <w:noWrap/>
          </w:tcPr>
          <w:p w14:paraId="1DC733E9" w14:textId="112690AA" w:rsidR="000A1ABF" w:rsidRPr="00075E4A" w:rsidRDefault="0033506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1.7</w:t>
            </w:r>
          </w:p>
        </w:tc>
        <w:tc>
          <w:tcPr>
            <w:tcW w:w="993" w:type="dxa"/>
            <w:gridSpan w:val="2"/>
            <w:noWrap/>
          </w:tcPr>
          <w:p w14:paraId="7E1F342D" w14:textId="1187CD19" w:rsidR="000A1ABF" w:rsidRPr="00075E4A" w:rsidRDefault="002763B2"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185</w:t>
            </w:r>
          </w:p>
        </w:tc>
        <w:tc>
          <w:tcPr>
            <w:tcW w:w="1133" w:type="dxa"/>
            <w:gridSpan w:val="2"/>
            <w:noWrap/>
          </w:tcPr>
          <w:p w14:paraId="0E21ADF1" w14:textId="5E460322" w:rsidR="000A1ABF" w:rsidRPr="00075E4A" w:rsidRDefault="0033506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1.0</w:t>
            </w:r>
          </w:p>
        </w:tc>
        <w:tc>
          <w:tcPr>
            <w:tcW w:w="1134" w:type="dxa"/>
            <w:gridSpan w:val="2"/>
            <w:noWrap/>
          </w:tcPr>
          <w:p w14:paraId="3D1AB950" w14:textId="71E1D6D2" w:rsidR="000A1ABF" w:rsidRPr="00075E4A" w:rsidRDefault="0062766B" w:rsidP="00353FDF">
            <w:pPr>
              <w:jc w:val="right"/>
              <w:rPr>
                <w:rFonts w:ascii="Calibri" w:eastAsia="Times New Roman" w:hAnsi="Calibri" w:cs="Times New Roman"/>
                <w:color w:val="000000"/>
                <w:sz w:val="20"/>
                <w:szCs w:val="20"/>
                <w:lang w:eastAsia="en-PH"/>
              </w:rPr>
            </w:pPr>
            <w:r>
              <w:rPr>
                <w:rFonts w:ascii="Calibri" w:eastAsia="Times New Roman" w:hAnsi="Calibri" w:cs="Times New Roman"/>
                <w:color w:val="000000"/>
                <w:sz w:val="20"/>
                <w:szCs w:val="20"/>
                <w:lang w:eastAsia="en-PH"/>
              </w:rPr>
              <w:t>93.9</w:t>
            </w:r>
          </w:p>
        </w:tc>
      </w:tr>
      <w:tr w:rsidR="000A1ABF" w:rsidRPr="00075E4A" w14:paraId="2C4E73AE" w14:textId="77777777" w:rsidTr="002763B2">
        <w:trPr>
          <w:trHeight w:val="288"/>
        </w:trPr>
        <w:tc>
          <w:tcPr>
            <w:tcW w:w="2552" w:type="dxa"/>
            <w:hideMark/>
          </w:tcPr>
          <w:p w14:paraId="5DA09910" w14:textId="77777777" w:rsidR="000A1ABF" w:rsidRPr="00075E4A" w:rsidRDefault="000A1ABF" w:rsidP="000E4889">
            <w:pPr>
              <w:jc w:val="both"/>
              <w:rPr>
                <w:rFonts w:ascii="Calibri" w:eastAsia="Times New Roman" w:hAnsi="Calibri" w:cs="Times New Roman"/>
                <w:b/>
                <w:bCs/>
                <w:color w:val="000000"/>
                <w:lang w:eastAsia="en-PH"/>
              </w:rPr>
            </w:pPr>
            <w:r w:rsidRPr="00075E4A">
              <w:rPr>
                <w:rFonts w:ascii="Calibri" w:eastAsia="Times New Roman" w:hAnsi="Calibri" w:cs="Times New Roman"/>
                <w:b/>
                <w:bCs/>
                <w:color w:val="000000"/>
                <w:lang w:eastAsia="en-PH"/>
              </w:rPr>
              <w:t>EBIT</w:t>
            </w:r>
          </w:p>
        </w:tc>
        <w:tc>
          <w:tcPr>
            <w:tcW w:w="1276" w:type="dxa"/>
            <w:noWrap/>
          </w:tcPr>
          <w:p w14:paraId="751CEF19" w14:textId="70B7988C" w:rsidR="000A1ABF" w:rsidRPr="00075E4A" w:rsidRDefault="00564B8F"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2,542</w:t>
            </w:r>
          </w:p>
        </w:tc>
        <w:tc>
          <w:tcPr>
            <w:tcW w:w="1134" w:type="dxa"/>
            <w:gridSpan w:val="2"/>
            <w:noWrap/>
          </w:tcPr>
          <w:p w14:paraId="720D8EAF" w14:textId="313EA0E6" w:rsidR="000A1ABF" w:rsidRPr="00075E4A" w:rsidRDefault="00F274E5"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w:t>
            </w:r>
            <w:r w:rsidR="003E30CD">
              <w:rPr>
                <w:rFonts w:ascii="Calibri" w:eastAsia="Times New Roman" w:hAnsi="Calibri" w:cs="Times New Roman"/>
                <w:b/>
                <w:color w:val="000000"/>
                <w:lang w:eastAsia="en-PH"/>
              </w:rPr>
              <w:t>2</w:t>
            </w:r>
            <w:r>
              <w:rPr>
                <w:rFonts w:ascii="Calibri" w:eastAsia="Times New Roman" w:hAnsi="Calibri" w:cs="Times New Roman"/>
                <w:b/>
                <w:color w:val="000000"/>
                <w:lang w:eastAsia="en-PH"/>
              </w:rPr>
              <w:t>.</w:t>
            </w:r>
            <w:r w:rsidR="003E30CD">
              <w:rPr>
                <w:rFonts w:ascii="Calibri" w:eastAsia="Times New Roman" w:hAnsi="Calibri" w:cs="Times New Roman"/>
                <w:b/>
                <w:color w:val="000000"/>
                <w:lang w:eastAsia="en-PH"/>
              </w:rPr>
              <w:t>1</w:t>
            </w:r>
          </w:p>
        </w:tc>
        <w:tc>
          <w:tcPr>
            <w:tcW w:w="993" w:type="dxa"/>
            <w:gridSpan w:val="2"/>
            <w:noWrap/>
          </w:tcPr>
          <w:p w14:paraId="0D27D27A" w14:textId="752E5503" w:rsidR="000A1ABF" w:rsidRPr="00075E4A" w:rsidRDefault="00564B8F"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1,856</w:t>
            </w:r>
          </w:p>
        </w:tc>
        <w:tc>
          <w:tcPr>
            <w:tcW w:w="1133" w:type="dxa"/>
            <w:gridSpan w:val="2"/>
            <w:noWrap/>
          </w:tcPr>
          <w:p w14:paraId="4BC25262" w14:textId="3E85FF7E" w:rsidR="000A1ABF" w:rsidRPr="00075E4A" w:rsidRDefault="00F274E5"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w:t>
            </w:r>
            <w:r w:rsidR="003E30CD">
              <w:rPr>
                <w:rFonts w:ascii="Calibri" w:eastAsia="Times New Roman" w:hAnsi="Calibri" w:cs="Times New Roman"/>
                <w:b/>
                <w:color w:val="000000"/>
                <w:lang w:eastAsia="en-PH"/>
              </w:rPr>
              <w:t>0.5</w:t>
            </w:r>
          </w:p>
        </w:tc>
        <w:tc>
          <w:tcPr>
            <w:tcW w:w="1134" w:type="dxa"/>
            <w:gridSpan w:val="2"/>
            <w:noWrap/>
          </w:tcPr>
          <w:p w14:paraId="78DF5F0D" w14:textId="656F891A" w:rsidR="000A1ABF" w:rsidRPr="00075E4A" w:rsidRDefault="003E30CD" w:rsidP="00353FDF">
            <w:pPr>
              <w:jc w:val="right"/>
              <w:rPr>
                <w:rFonts w:ascii="Calibri" w:eastAsia="Times New Roman" w:hAnsi="Calibri" w:cs="Times New Roman"/>
                <w:b/>
                <w:color w:val="000000"/>
                <w:sz w:val="20"/>
                <w:szCs w:val="20"/>
                <w:lang w:eastAsia="en-PH"/>
              </w:rPr>
            </w:pPr>
            <w:r>
              <w:rPr>
                <w:rFonts w:ascii="Calibri" w:eastAsia="Times New Roman" w:hAnsi="Calibri" w:cs="Times New Roman"/>
                <w:b/>
                <w:color w:val="000000"/>
                <w:sz w:val="20"/>
                <w:szCs w:val="20"/>
                <w:lang w:eastAsia="en-PH"/>
              </w:rPr>
              <w:t>37.0</w:t>
            </w:r>
          </w:p>
        </w:tc>
      </w:tr>
      <w:tr w:rsidR="009E4511" w:rsidRPr="00075E4A" w14:paraId="4D82794F" w14:textId="77777777" w:rsidTr="002763B2">
        <w:trPr>
          <w:cnfStyle w:val="000000100000" w:firstRow="0" w:lastRow="0" w:firstColumn="0" w:lastColumn="0" w:oddVBand="0" w:evenVBand="0" w:oddHBand="1" w:evenHBand="0" w:firstRowFirstColumn="0" w:firstRowLastColumn="0" w:lastRowFirstColumn="0" w:lastRowLastColumn="0"/>
          <w:trHeight w:val="288"/>
        </w:trPr>
        <w:tc>
          <w:tcPr>
            <w:tcW w:w="2552" w:type="dxa"/>
            <w:hideMark/>
          </w:tcPr>
          <w:p w14:paraId="58B89AB9" w14:textId="77777777" w:rsidR="000A1ABF" w:rsidRPr="00075E4A" w:rsidRDefault="000A1ABF" w:rsidP="000E4889">
            <w:pPr>
              <w:jc w:val="both"/>
              <w:rPr>
                <w:rFonts w:ascii="Calibri" w:eastAsia="Times New Roman" w:hAnsi="Calibri" w:cs="Times New Roman"/>
                <w:color w:val="000000"/>
                <w:lang w:eastAsia="en-PH"/>
              </w:rPr>
            </w:pPr>
            <w:r w:rsidRPr="00075E4A">
              <w:rPr>
                <w:rFonts w:ascii="Calibri" w:eastAsia="Times New Roman" w:hAnsi="Calibri" w:cs="Times New Roman"/>
                <w:color w:val="000000"/>
                <w:lang w:eastAsia="en-PH"/>
              </w:rPr>
              <w:t>INTEREST EXPENSE</w:t>
            </w:r>
          </w:p>
        </w:tc>
        <w:tc>
          <w:tcPr>
            <w:tcW w:w="1276" w:type="dxa"/>
            <w:noWrap/>
          </w:tcPr>
          <w:p w14:paraId="3D14941B" w14:textId="0D0C6B91"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-2</w:t>
            </w:r>
          </w:p>
        </w:tc>
        <w:tc>
          <w:tcPr>
            <w:tcW w:w="1134" w:type="dxa"/>
            <w:gridSpan w:val="2"/>
            <w:noWrap/>
          </w:tcPr>
          <w:p w14:paraId="5982B509" w14:textId="530F3264" w:rsidR="000A1ABF" w:rsidRPr="00075E4A" w:rsidRDefault="00F274E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0.0</w:t>
            </w:r>
          </w:p>
        </w:tc>
        <w:tc>
          <w:tcPr>
            <w:tcW w:w="993" w:type="dxa"/>
            <w:gridSpan w:val="2"/>
            <w:noWrap/>
          </w:tcPr>
          <w:p w14:paraId="06680353" w14:textId="16CFC506"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-22</w:t>
            </w:r>
          </w:p>
        </w:tc>
        <w:tc>
          <w:tcPr>
            <w:tcW w:w="1133" w:type="dxa"/>
            <w:gridSpan w:val="2"/>
            <w:noWrap/>
          </w:tcPr>
          <w:p w14:paraId="5F542D97" w14:textId="0CC6E321" w:rsidR="000A1ABF" w:rsidRPr="00075E4A" w:rsidRDefault="00F274E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0.1</w:t>
            </w:r>
          </w:p>
        </w:tc>
        <w:tc>
          <w:tcPr>
            <w:tcW w:w="1134" w:type="dxa"/>
            <w:gridSpan w:val="2"/>
            <w:noWrap/>
          </w:tcPr>
          <w:p w14:paraId="3B65DAAA" w14:textId="19F0F4B4" w:rsidR="000A1ABF" w:rsidRPr="00075E4A" w:rsidRDefault="003E30CD" w:rsidP="00353FDF">
            <w:pPr>
              <w:jc w:val="right"/>
              <w:rPr>
                <w:rFonts w:ascii="Calibri" w:eastAsia="Times New Roman" w:hAnsi="Calibri" w:cs="Times New Roman"/>
                <w:color w:val="000000"/>
                <w:sz w:val="20"/>
                <w:szCs w:val="20"/>
                <w:lang w:eastAsia="en-PH"/>
              </w:rPr>
            </w:pPr>
            <w:r>
              <w:rPr>
                <w:rFonts w:ascii="Calibri" w:eastAsia="Times New Roman" w:hAnsi="Calibri" w:cs="Times New Roman"/>
                <w:color w:val="000000"/>
                <w:sz w:val="20"/>
                <w:szCs w:val="20"/>
                <w:lang w:eastAsia="en-PH"/>
              </w:rPr>
              <w:t>-89.2</w:t>
            </w:r>
          </w:p>
        </w:tc>
      </w:tr>
      <w:tr w:rsidR="000A1ABF" w:rsidRPr="00075E4A" w14:paraId="229AFC76" w14:textId="77777777" w:rsidTr="002763B2">
        <w:trPr>
          <w:trHeight w:val="288"/>
        </w:trPr>
        <w:tc>
          <w:tcPr>
            <w:tcW w:w="2552" w:type="dxa"/>
            <w:hideMark/>
          </w:tcPr>
          <w:p w14:paraId="2174A577" w14:textId="77777777" w:rsidR="000A1ABF" w:rsidRPr="00075E4A" w:rsidRDefault="000A1ABF" w:rsidP="000E4889">
            <w:pPr>
              <w:jc w:val="both"/>
              <w:rPr>
                <w:rFonts w:ascii="Calibri" w:eastAsia="Times New Roman" w:hAnsi="Calibri" w:cs="Times New Roman"/>
                <w:b/>
                <w:bCs/>
                <w:color w:val="000000"/>
                <w:lang w:eastAsia="en-PH"/>
              </w:rPr>
            </w:pPr>
            <w:r w:rsidRPr="00075E4A">
              <w:rPr>
                <w:rFonts w:ascii="Calibri" w:eastAsia="Times New Roman" w:hAnsi="Calibri" w:cs="Times New Roman"/>
                <w:b/>
                <w:bCs/>
                <w:color w:val="000000"/>
                <w:lang w:eastAsia="en-PH"/>
              </w:rPr>
              <w:t>INCOME BEFORE TAX</w:t>
            </w:r>
          </w:p>
        </w:tc>
        <w:tc>
          <w:tcPr>
            <w:tcW w:w="1276" w:type="dxa"/>
            <w:noWrap/>
          </w:tcPr>
          <w:p w14:paraId="12FC90F0" w14:textId="6EED689B" w:rsidR="000A1ABF" w:rsidRPr="00075E4A" w:rsidRDefault="00564B8F"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2,540</w:t>
            </w:r>
          </w:p>
        </w:tc>
        <w:tc>
          <w:tcPr>
            <w:tcW w:w="1134" w:type="dxa"/>
            <w:gridSpan w:val="2"/>
            <w:noWrap/>
          </w:tcPr>
          <w:p w14:paraId="7E50FE55" w14:textId="62953978" w:rsidR="000A1ABF" w:rsidRPr="00075E4A" w:rsidRDefault="00F274E5"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12.1</w:t>
            </w:r>
          </w:p>
        </w:tc>
        <w:tc>
          <w:tcPr>
            <w:tcW w:w="993" w:type="dxa"/>
            <w:gridSpan w:val="2"/>
            <w:noWrap/>
          </w:tcPr>
          <w:p w14:paraId="0439F719" w14:textId="519EA02E" w:rsidR="000A1ABF" w:rsidRPr="00075E4A" w:rsidRDefault="00564B8F"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1,834</w:t>
            </w:r>
          </w:p>
        </w:tc>
        <w:tc>
          <w:tcPr>
            <w:tcW w:w="1133" w:type="dxa"/>
            <w:gridSpan w:val="2"/>
            <w:noWrap/>
          </w:tcPr>
          <w:p w14:paraId="3EC92311" w14:textId="66C1FEC5" w:rsidR="000A1ABF" w:rsidRPr="00075E4A" w:rsidRDefault="00F274E5"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10.3</w:t>
            </w:r>
          </w:p>
        </w:tc>
        <w:tc>
          <w:tcPr>
            <w:tcW w:w="1134" w:type="dxa"/>
            <w:gridSpan w:val="2"/>
            <w:noWrap/>
          </w:tcPr>
          <w:p w14:paraId="45532ABA" w14:textId="40041FBB" w:rsidR="000A1ABF" w:rsidRPr="00075E4A" w:rsidRDefault="003E30CD" w:rsidP="00353FDF">
            <w:pPr>
              <w:jc w:val="right"/>
              <w:rPr>
                <w:rFonts w:ascii="Calibri" w:eastAsia="Times New Roman" w:hAnsi="Calibri" w:cs="Times New Roman"/>
                <w:b/>
                <w:color w:val="000000"/>
                <w:sz w:val="20"/>
                <w:szCs w:val="20"/>
                <w:lang w:eastAsia="en-PH"/>
              </w:rPr>
            </w:pPr>
            <w:r>
              <w:rPr>
                <w:rFonts w:ascii="Calibri" w:eastAsia="Times New Roman" w:hAnsi="Calibri" w:cs="Times New Roman"/>
                <w:b/>
                <w:color w:val="000000"/>
                <w:sz w:val="20"/>
                <w:szCs w:val="20"/>
                <w:lang w:eastAsia="en-PH"/>
              </w:rPr>
              <w:t>38.5</w:t>
            </w:r>
          </w:p>
        </w:tc>
      </w:tr>
      <w:tr w:rsidR="009E4511" w:rsidRPr="00075E4A" w14:paraId="2497A8F2" w14:textId="77777777" w:rsidTr="002763B2">
        <w:trPr>
          <w:cnfStyle w:val="000000100000" w:firstRow="0" w:lastRow="0" w:firstColumn="0" w:lastColumn="0" w:oddVBand="0" w:evenVBand="0" w:oddHBand="1" w:evenHBand="0" w:firstRowFirstColumn="0" w:firstRowLastColumn="0" w:lastRowFirstColumn="0" w:lastRowLastColumn="0"/>
          <w:trHeight w:val="288"/>
        </w:trPr>
        <w:tc>
          <w:tcPr>
            <w:tcW w:w="2552" w:type="dxa"/>
            <w:hideMark/>
          </w:tcPr>
          <w:p w14:paraId="2ED3FB02" w14:textId="77777777" w:rsidR="000A1ABF" w:rsidRPr="00075E4A" w:rsidRDefault="000A1ABF" w:rsidP="000E4889">
            <w:pPr>
              <w:jc w:val="both"/>
              <w:rPr>
                <w:rFonts w:ascii="Calibri" w:eastAsia="Times New Roman" w:hAnsi="Calibri" w:cs="Times New Roman"/>
                <w:color w:val="000000"/>
                <w:lang w:eastAsia="en-PH"/>
              </w:rPr>
            </w:pPr>
            <w:r w:rsidRPr="00075E4A">
              <w:rPr>
                <w:rFonts w:ascii="Calibri" w:eastAsia="Times New Roman" w:hAnsi="Calibri" w:cs="Times New Roman"/>
                <w:color w:val="000000"/>
                <w:lang w:eastAsia="en-PH"/>
              </w:rPr>
              <w:t>INCOME TAX</w:t>
            </w:r>
          </w:p>
        </w:tc>
        <w:tc>
          <w:tcPr>
            <w:tcW w:w="1276" w:type="dxa"/>
            <w:noWrap/>
          </w:tcPr>
          <w:p w14:paraId="155141CA" w14:textId="23B892AC"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704</w:t>
            </w:r>
          </w:p>
        </w:tc>
        <w:tc>
          <w:tcPr>
            <w:tcW w:w="1134" w:type="dxa"/>
            <w:gridSpan w:val="2"/>
            <w:noWrap/>
          </w:tcPr>
          <w:p w14:paraId="69558F7D" w14:textId="206D35C4" w:rsidR="000A1ABF" w:rsidRPr="00075E4A" w:rsidRDefault="00F274E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3.3</w:t>
            </w:r>
          </w:p>
        </w:tc>
        <w:tc>
          <w:tcPr>
            <w:tcW w:w="993" w:type="dxa"/>
            <w:gridSpan w:val="2"/>
            <w:noWrap/>
          </w:tcPr>
          <w:p w14:paraId="126E9597" w14:textId="0065119E"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448</w:t>
            </w:r>
          </w:p>
        </w:tc>
        <w:tc>
          <w:tcPr>
            <w:tcW w:w="1133" w:type="dxa"/>
            <w:gridSpan w:val="2"/>
            <w:noWrap/>
          </w:tcPr>
          <w:p w14:paraId="376D79E7" w14:textId="08404C8D" w:rsidR="000A1ABF" w:rsidRPr="00075E4A" w:rsidRDefault="00F274E5"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2.5</w:t>
            </w:r>
          </w:p>
        </w:tc>
        <w:tc>
          <w:tcPr>
            <w:tcW w:w="1134" w:type="dxa"/>
            <w:gridSpan w:val="2"/>
            <w:noWrap/>
          </w:tcPr>
          <w:p w14:paraId="7DEA67A9" w14:textId="656B57AF" w:rsidR="000A1ABF" w:rsidRPr="00075E4A" w:rsidRDefault="0062766B" w:rsidP="00353FDF">
            <w:pPr>
              <w:jc w:val="right"/>
              <w:rPr>
                <w:rFonts w:ascii="Calibri" w:eastAsia="Times New Roman" w:hAnsi="Calibri" w:cs="Times New Roman"/>
                <w:color w:val="000000"/>
                <w:sz w:val="20"/>
                <w:szCs w:val="20"/>
                <w:lang w:eastAsia="en-PH"/>
              </w:rPr>
            </w:pPr>
            <w:r>
              <w:rPr>
                <w:rFonts w:ascii="Calibri" w:eastAsia="Times New Roman" w:hAnsi="Calibri" w:cs="Times New Roman"/>
                <w:color w:val="000000"/>
                <w:sz w:val="20"/>
                <w:szCs w:val="20"/>
                <w:lang w:eastAsia="en-PH"/>
              </w:rPr>
              <w:t>57.1</w:t>
            </w:r>
          </w:p>
        </w:tc>
      </w:tr>
      <w:tr w:rsidR="000A1ABF" w:rsidRPr="00075E4A" w14:paraId="36E48C9A" w14:textId="77777777" w:rsidTr="002763B2">
        <w:trPr>
          <w:trHeight w:val="294"/>
        </w:trPr>
        <w:tc>
          <w:tcPr>
            <w:tcW w:w="2552" w:type="dxa"/>
            <w:hideMark/>
          </w:tcPr>
          <w:p w14:paraId="69390AC7" w14:textId="77777777" w:rsidR="000A1ABF" w:rsidRPr="00075E4A" w:rsidRDefault="000A1ABF" w:rsidP="000E4889">
            <w:pPr>
              <w:jc w:val="both"/>
              <w:rPr>
                <w:rFonts w:ascii="Calibri" w:eastAsia="Times New Roman" w:hAnsi="Calibri" w:cs="Times New Roman"/>
                <w:b/>
                <w:bCs/>
                <w:color w:val="000000"/>
                <w:lang w:eastAsia="en-PH"/>
              </w:rPr>
            </w:pPr>
            <w:r w:rsidRPr="00075E4A">
              <w:rPr>
                <w:rFonts w:ascii="Calibri" w:eastAsia="Times New Roman" w:hAnsi="Calibri" w:cs="Times New Roman"/>
                <w:b/>
                <w:bCs/>
                <w:color w:val="000000"/>
                <w:lang w:eastAsia="en-PH"/>
              </w:rPr>
              <w:t>NET INCOME</w:t>
            </w:r>
          </w:p>
        </w:tc>
        <w:tc>
          <w:tcPr>
            <w:tcW w:w="1276" w:type="dxa"/>
            <w:noWrap/>
          </w:tcPr>
          <w:p w14:paraId="4C5F5D58" w14:textId="70D6552F" w:rsidR="000A1ABF" w:rsidRPr="00075E4A" w:rsidRDefault="00564B8F"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1,835</w:t>
            </w:r>
          </w:p>
        </w:tc>
        <w:tc>
          <w:tcPr>
            <w:tcW w:w="1134" w:type="dxa"/>
            <w:gridSpan w:val="2"/>
            <w:noWrap/>
          </w:tcPr>
          <w:p w14:paraId="018CC5C6" w14:textId="2780719A" w:rsidR="000A1ABF" w:rsidRPr="00075E4A" w:rsidRDefault="00F274E5"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8.7</w:t>
            </w:r>
          </w:p>
        </w:tc>
        <w:tc>
          <w:tcPr>
            <w:tcW w:w="993" w:type="dxa"/>
            <w:gridSpan w:val="2"/>
            <w:noWrap/>
          </w:tcPr>
          <w:p w14:paraId="108BF761" w14:textId="160E21FC" w:rsidR="000A1ABF" w:rsidRPr="00075E4A" w:rsidRDefault="00564B8F"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1,385</w:t>
            </w:r>
          </w:p>
        </w:tc>
        <w:tc>
          <w:tcPr>
            <w:tcW w:w="1133" w:type="dxa"/>
            <w:gridSpan w:val="2"/>
            <w:noWrap/>
          </w:tcPr>
          <w:p w14:paraId="649DEB6D" w14:textId="1F04CA95" w:rsidR="000A1ABF" w:rsidRPr="00075E4A" w:rsidRDefault="00F274E5" w:rsidP="00353FDF">
            <w:pPr>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7.8</w:t>
            </w:r>
          </w:p>
        </w:tc>
        <w:tc>
          <w:tcPr>
            <w:tcW w:w="1134" w:type="dxa"/>
            <w:gridSpan w:val="2"/>
            <w:noWrap/>
          </w:tcPr>
          <w:p w14:paraId="195D99DE" w14:textId="6DE33375" w:rsidR="000A1ABF" w:rsidRPr="00075E4A" w:rsidRDefault="003E30CD" w:rsidP="00353FDF">
            <w:pPr>
              <w:jc w:val="right"/>
              <w:rPr>
                <w:rFonts w:ascii="Calibri" w:eastAsia="Times New Roman" w:hAnsi="Calibri" w:cs="Times New Roman"/>
                <w:b/>
                <w:color w:val="000000"/>
                <w:sz w:val="20"/>
                <w:szCs w:val="20"/>
                <w:lang w:eastAsia="en-PH"/>
              </w:rPr>
            </w:pPr>
            <w:r>
              <w:rPr>
                <w:rFonts w:ascii="Calibri" w:eastAsia="Times New Roman" w:hAnsi="Calibri" w:cs="Times New Roman"/>
                <w:b/>
                <w:color w:val="000000"/>
                <w:sz w:val="20"/>
                <w:szCs w:val="20"/>
                <w:lang w:eastAsia="en-PH"/>
              </w:rPr>
              <w:t>32.5</w:t>
            </w:r>
          </w:p>
        </w:tc>
      </w:tr>
      <w:tr w:rsidR="009E4511" w:rsidRPr="00075E4A" w14:paraId="12137541" w14:textId="77777777" w:rsidTr="002763B2">
        <w:trPr>
          <w:cnfStyle w:val="000000100000" w:firstRow="0" w:lastRow="0" w:firstColumn="0" w:lastColumn="0" w:oddVBand="0" w:evenVBand="0" w:oddHBand="1" w:evenHBand="0" w:firstRowFirstColumn="0" w:firstRowLastColumn="0" w:lastRowFirstColumn="0" w:lastRowLastColumn="0"/>
          <w:trHeight w:val="288"/>
        </w:trPr>
        <w:tc>
          <w:tcPr>
            <w:tcW w:w="2552" w:type="dxa"/>
            <w:hideMark/>
          </w:tcPr>
          <w:p w14:paraId="78F2B733" w14:textId="77777777" w:rsidR="000A1ABF" w:rsidRPr="00075E4A" w:rsidRDefault="000A1ABF" w:rsidP="000E4889">
            <w:pPr>
              <w:jc w:val="both"/>
              <w:rPr>
                <w:rFonts w:ascii="Calibri" w:eastAsia="Times New Roman" w:hAnsi="Calibri" w:cs="Times New Roman"/>
                <w:color w:val="000000"/>
                <w:lang w:eastAsia="en-PH"/>
              </w:rPr>
            </w:pPr>
            <w:r w:rsidRPr="00075E4A">
              <w:rPr>
                <w:rFonts w:ascii="Calibri" w:eastAsia="Times New Roman" w:hAnsi="Calibri" w:cs="Times New Roman"/>
                <w:color w:val="000000"/>
                <w:lang w:eastAsia="en-PH"/>
              </w:rPr>
              <w:t>Depreciation</w:t>
            </w:r>
          </w:p>
        </w:tc>
        <w:tc>
          <w:tcPr>
            <w:tcW w:w="1276" w:type="dxa"/>
            <w:noWrap/>
          </w:tcPr>
          <w:p w14:paraId="126B15C4" w14:textId="7354B558"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165</w:t>
            </w:r>
          </w:p>
        </w:tc>
        <w:tc>
          <w:tcPr>
            <w:tcW w:w="1134" w:type="dxa"/>
            <w:gridSpan w:val="2"/>
            <w:noWrap/>
          </w:tcPr>
          <w:p w14:paraId="312ECBF5" w14:textId="0978EF8B" w:rsidR="000A1ABF" w:rsidRPr="00075E4A" w:rsidRDefault="003E30CD"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0.8</w:t>
            </w:r>
          </w:p>
        </w:tc>
        <w:tc>
          <w:tcPr>
            <w:tcW w:w="993" w:type="dxa"/>
            <w:gridSpan w:val="2"/>
            <w:noWrap/>
          </w:tcPr>
          <w:p w14:paraId="6B5341FB" w14:textId="07BF18C3" w:rsidR="000A1ABF" w:rsidRPr="00075E4A" w:rsidRDefault="00564B8F"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104</w:t>
            </w:r>
          </w:p>
        </w:tc>
        <w:tc>
          <w:tcPr>
            <w:tcW w:w="1133" w:type="dxa"/>
            <w:gridSpan w:val="2"/>
            <w:noWrap/>
          </w:tcPr>
          <w:p w14:paraId="74171B10" w14:textId="3E05A6BF" w:rsidR="000A1ABF" w:rsidRPr="00075E4A" w:rsidRDefault="003E30CD" w:rsidP="00353FDF">
            <w:pPr>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0.6</w:t>
            </w:r>
          </w:p>
        </w:tc>
        <w:tc>
          <w:tcPr>
            <w:tcW w:w="1134" w:type="dxa"/>
            <w:gridSpan w:val="2"/>
            <w:noWrap/>
          </w:tcPr>
          <w:p w14:paraId="35762FC5" w14:textId="15EABCB1" w:rsidR="000A1ABF" w:rsidRPr="00075E4A" w:rsidRDefault="003E30CD" w:rsidP="00353FDF">
            <w:pPr>
              <w:jc w:val="right"/>
              <w:rPr>
                <w:rFonts w:ascii="Calibri" w:eastAsia="Times New Roman" w:hAnsi="Calibri" w:cs="Times New Roman"/>
                <w:color w:val="000000"/>
                <w:sz w:val="20"/>
                <w:szCs w:val="20"/>
                <w:lang w:eastAsia="en-PH"/>
              </w:rPr>
            </w:pPr>
            <w:r>
              <w:rPr>
                <w:rFonts w:ascii="Calibri" w:eastAsia="Times New Roman" w:hAnsi="Calibri" w:cs="Times New Roman"/>
                <w:color w:val="000000"/>
                <w:sz w:val="20"/>
                <w:szCs w:val="20"/>
                <w:lang w:eastAsia="en-PH"/>
              </w:rPr>
              <w:t>58.0</w:t>
            </w:r>
          </w:p>
        </w:tc>
      </w:tr>
      <w:tr w:rsidR="000A1ABF" w:rsidRPr="00075E4A" w14:paraId="562A5304" w14:textId="77777777" w:rsidTr="002763B2">
        <w:trPr>
          <w:trHeight w:val="294"/>
        </w:trPr>
        <w:tc>
          <w:tcPr>
            <w:tcW w:w="2552" w:type="dxa"/>
            <w:hideMark/>
          </w:tcPr>
          <w:p w14:paraId="0F860C8B" w14:textId="77777777" w:rsidR="000A1ABF" w:rsidRPr="00075E4A" w:rsidRDefault="000A1ABF" w:rsidP="000E4889">
            <w:pPr>
              <w:jc w:val="both"/>
              <w:rPr>
                <w:rFonts w:ascii="Calibri" w:eastAsia="Times New Roman" w:hAnsi="Calibri" w:cs="Times New Roman"/>
                <w:b/>
                <w:bCs/>
                <w:color w:val="000000"/>
                <w:lang w:eastAsia="en-PH"/>
              </w:rPr>
            </w:pPr>
            <w:r w:rsidRPr="00075E4A">
              <w:rPr>
                <w:rFonts w:ascii="Calibri" w:eastAsia="Times New Roman" w:hAnsi="Calibri" w:cs="Times New Roman"/>
                <w:b/>
                <w:bCs/>
                <w:color w:val="000000"/>
                <w:lang w:eastAsia="en-PH"/>
              </w:rPr>
              <w:t>EBITDA</w:t>
            </w:r>
          </w:p>
        </w:tc>
        <w:tc>
          <w:tcPr>
            <w:tcW w:w="1276" w:type="dxa"/>
            <w:noWrap/>
          </w:tcPr>
          <w:p w14:paraId="249BE061" w14:textId="77BDBC9B" w:rsidR="000A1ABF" w:rsidRPr="00075E4A" w:rsidRDefault="00564B8F" w:rsidP="00353FDF">
            <w:pPr>
              <w:jc w:val="right"/>
              <w:rPr>
                <w:rFonts w:ascii="Calibri" w:eastAsia="Times New Roman" w:hAnsi="Calibri" w:cs="Times New Roman"/>
                <w:b/>
                <w:bCs/>
                <w:color w:val="000000"/>
                <w:lang w:eastAsia="en-PH"/>
              </w:rPr>
            </w:pPr>
            <w:r>
              <w:rPr>
                <w:rFonts w:ascii="Calibri" w:eastAsia="Times New Roman" w:hAnsi="Calibri" w:cs="Times New Roman"/>
                <w:b/>
                <w:bCs/>
                <w:color w:val="000000"/>
                <w:lang w:eastAsia="en-PH"/>
              </w:rPr>
              <w:t>2,707</w:t>
            </w:r>
          </w:p>
        </w:tc>
        <w:tc>
          <w:tcPr>
            <w:tcW w:w="1134" w:type="dxa"/>
            <w:gridSpan w:val="2"/>
            <w:noWrap/>
          </w:tcPr>
          <w:p w14:paraId="0AFB9F57" w14:textId="4CAAE69D" w:rsidR="000A1ABF" w:rsidRPr="00075E4A" w:rsidRDefault="003E30CD" w:rsidP="00353FDF">
            <w:pPr>
              <w:jc w:val="right"/>
              <w:rPr>
                <w:rFonts w:ascii="Calibri" w:eastAsia="Times New Roman" w:hAnsi="Calibri" w:cs="Times New Roman"/>
                <w:b/>
                <w:bCs/>
                <w:color w:val="000000"/>
                <w:lang w:eastAsia="en-PH"/>
              </w:rPr>
            </w:pPr>
            <w:r>
              <w:rPr>
                <w:rFonts w:ascii="Calibri" w:eastAsia="Times New Roman" w:hAnsi="Calibri" w:cs="Times New Roman"/>
                <w:b/>
                <w:bCs/>
                <w:color w:val="000000"/>
                <w:lang w:eastAsia="en-PH"/>
              </w:rPr>
              <w:t>12.9</w:t>
            </w:r>
          </w:p>
        </w:tc>
        <w:tc>
          <w:tcPr>
            <w:tcW w:w="993" w:type="dxa"/>
            <w:gridSpan w:val="2"/>
            <w:noWrap/>
          </w:tcPr>
          <w:p w14:paraId="721C85A0" w14:textId="2D48AE5B" w:rsidR="000A1ABF" w:rsidRPr="00075E4A" w:rsidRDefault="00564B8F" w:rsidP="00353FDF">
            <w:pPr>
              <w:jc w:val="right"/>
              <w:rPr>
                <w:rFonts w:ascii="Calibri" w:eastAsia="Times New Roman" w:hAnsi="Calibri" w:cs="Times New Roman"/>
                <w:b/>
                <w:bCs/>
                <w:color w:val="000000"/>
                <w:lang w:eastAsia="en-PH"/>
              </w:rPr>
            </w:pPr>
            <w:r>
              <w:rPr>
                <w:rFonts w:ascii="Calibri" w:eastAsia="Times New Roman" w:hAnsi="Calibri" w:cs="Times New Roman"/>
                <w:b/>
                <w:bCs/>
                <w:color w:val="000000"/>
                <w:lang w:eastAsia="en-PH"/>
              </w:rPr>
              <w:t>1,960</w:t>
            </w:r>
          </w:p>
        </w:tc>
        <w:tc>
          <w:tcPr>
            <w:tcW w:w="1133" w:type="dxa"/>
            <w:gridSpan w:val="2"/>
            <w:noWrap/>
          </w:tcPr>
          <w:p w14:paraId="4B3F2DBB" w14:textId="5F84F037" w:rsidR="000A1ABF" w:rsidRPr="00075E4A" w:rsidRDefault="003E30CD" w:rsidP="00353FDF">
            <w:pPr>
              <w:jc w:val="right"/>
              <w:rPr>
                <w:rFonts w:ascii="Calibri" w:eastAsia="Times New Roman" w:hAnsi="Calibri" w:cs="Times New Roman"/>
                <w:b/>
                <w:bCs/>
                <w:color w:val="000000"/>
                <w:lang w:eastAsia="en-PH"/>
              </w:rPr>
            </w:pPr>
            <w:r>
              <w:rPr>
                <w:rFonts w:ascii="Calibri" w:eastAsia="Times New Roman" w:hAnsi="Calibri" w:cs="Times New Roman"/>
                <w:b/>
                <w:bCs/>
                <w:color w:val="000000"/>
                <w:lang w:eastAsia="en-PH"/>
              </w:rPr>
              <w:t>11.0</w:t>
            </w:r>
          </w:p>
        </w:tc>
        <w:tc>
          <w:tcPr>
            <w:tcW w:w="1134" w:type="dxa"/>
            <w:gridSpan w:val="2"/>
            <w:noWrap/>
          </w:tcPr>
          <w:p w14:paraId="51CA3A45" w14:textId="0AADA190" w:rsidR="000A1ABF" w:rsidRPr="00075E4A" w:rsidRDefault="003E30CD" w:rsidP="00353FDF">
            <w:pPr>
              <w:jc w:val="right"/>
              <w:rPr>
                <w:rFonts w:ascii="Calibri" w:eastAsia="Times New Roman" w:hAnsi="Calibri" w:cs="Times New Roman"/>
                <w:b/>
                <w:bCs/>
                <w:color w:val="000000"/>
                <w:sz w:val="20"/>
                <w:szCs w:val="20"/>
                <w:lang w:eastAsia="en-PH"/>
              </w:rPr>
            </w:pPr>
            <w:r>
              <w:rPr>
                <w:rFonts w:ascii="Calibri" w:eastAsia="Times New Roman" w:hAnsi="Calibri" w:cs="Times New Roman"/>
                <w:b/>
                <w:bCs/>
                <w:color w:val="000000"/>
                <w:sz w:val="20"/>
                <w:szCs w:val="20"/>
                <w:lang w:eastAsia="en-PH"/>
              </w:rPr>
              <w:t>38.1</w:t>
            </w:r>
          </w:p>
        </w:tc>
      </w:tr>
    </w:tbl>
    <w:p w14:paraId="30BF9426" w14:textId="77777777" w:rsidR="00522C12" w:rsidRDefault="00522C12" w:rsidP="000E4889">
      <w:pPr>
        <w:jc w:val="both"/>
      </w:pPr>
    </w:p>
    <w:tbl>
      <w:tblPr>
        <w:tblW w:w="7325" w:type="dxa"/>
        <w:tblInd w:w="108" w:type="dxa"/>
        <w:tblLook w:val="04A0" w:firstRow="1" w:lastRow="0" w:firstColumn="1" w:lastColumn="0" w:noHBand="0" w:noVBand="1"/>
      </w:tblPr>
      <w:tblGrid>
        <w:gridCol w:w="2977"/>
        <w:gridCol w:w="1938"/>
        <w:gridCol w:w="2410"/>
      </w:tblGrid>
      <w:tr w:rsidR="001E4884" w:rsidRPr="001E4884" w14:paraId="6C7D9C4C" w14:textId="77777777" w:rsidTr="001E4884">
        <w:trPr>
          <w:trHeight w:val="288"/>
        </w:trPr>
        <w:tc>
          <w:tcPr>
            <w:tcW w:w="2977" w:type="dxa"/>
            <w:tcBorders>
              <w:top w:val="nil"/>
              <w:left w:val="nil"/>
              <w:bottom w:val="nil"/>
              <w:right w:val="nil"/>
            </w:tcBorders>
            <w:shd w:val="clear" w:color="auto" w:fill="auto"/>
            <w:noWrap/>
            <w:vAlign w:val="center"/>
            <w:hideMark/>
          </w:tcPr>
          <w:p w14:paraId="42FBCBA8" w14:textId="77777777" w:rsidR="001E4884" w:rsidRPr="001E4884" w:rsidRDefault="001E4884" w:rsidP="001E4884">
            <w:pPr>
              <w:spacing w:after="0" w:line="240" w:lineRule="auto"/>
              <w:rPr>
                <w:rFonts w:ascii="Calibri" w:eastAsia="Times New Roman" w:hAnsi="Calibri" w:cs="Times New Roman"/>
                <w:b/>
                <w:bCs/>
                <w:color w:val="000000"/>
                <w:lang w:eastAsia="en-PH"/>
              </w:rPr>
            </w:pPr>
            <w:r w:rsidRPr="001E4884">
              <w:rPr>
                <w:rFonts w:ascii="Calibri" w:eastAsia="Times New Roman" w:hAnsi="Calibri" w:cs="Times New Roman"/>
                <w:b/>
                <w:bCs/>
                <w:color w:val="000000"/>
                <w:lang w:eastAsia="en-PH"/>
              </w:rPr>
              <w:t>Balance Sheet</w:t>
            </w:r>
          </w:p>
        </w:tc>
        <w:tc>
          <w:tcPr>
            <w:tcW w:w="1938" w:type="dxa"/>
            <w:tcBorders>
              <w:top w:val="nil"/>
              <w:left w:val="nil"/>
              <w:bottom w:val="nil"/>
              <w:right w:val="nil"/>
            </w:tcBorders>
            <w:shd w:val="clear" w:color="auto" w:fill="auto"/>
            <w:noWrap/>
            <w:vAlign w:val="center"/>
            <w:hideMark/>
          </w:tcPr>
          <w:p w14:paraId="50C0B7EF" w14:textId="3315DA35" w:rsidR="001E4884" w:rsidRPr="001E4884" w:rsidRDefault="008E046F" w:rsidP="001E4884">
            <w:pPr>
              <w:spacing w:after="0" w:line="240" w:lineRule="auto"/>
              <w:jc w:val="right"/>
              <w:rPr>
                <w:rFonts w:ascii="Calibri" w:eastAsia="Times New Roman" w:hAnsi="Calibri" w:cs="Times New Roman"/>
                <w:b/>
                <w:bCs/>
                <w:color w:val="000000"/>
                <w:lang w:eastAsia="en-PH"/>
              </w:rPr>
            </w:pPr>
            <w:r>
              <w:rPr>
                <w:rFonts w:ascii="Calibri" w:eastAsia="Times New Roman" w:hAnsi="Calibri" w:cs="Times New Roman"/>
                <w:b/>
                <w:bCs/>
                <w:color w:val="000000"/>
                <w:lang w:eastAsia="en-PH"/>
              </w:rPr>
              <w:t>Audited</w:t>
            </w:r>
          </w:p>
        </w:tc>
        <w:tc>
          <w:tcPr>
            <w:tcW w:w="2410" w:type="dxa"/>
            <w:tcBorders>
              <w:top w:val="nil"/>
              <w:left w:val="nil"/>
              <w:bottom w:val="nil"/>
              <w:right w:val="nil"/>
            </w:tcBorders>
            <w:shd w:val="clear" w:color="auto" w:fill="auto"/>
            <w:noWrap/>
            <w:vAlign w:val="center"/>
            <w:hideMark/>
          </w:tcPr>
          <w:p w14:paraId="0C5D25BE" w14:textId="77777777" w:rsidR="001E4884" w:rsidRPr="001E4884" w:rsidRDefault="001E4884" w:rsidP="001E4884">
            <w:pPr>
              <w:spacing w:after="0" w:line="240" w:lineRule="auto"/>
              <w:jc w:val="right"/>
              <w:rPr>
                <w:rFonts w:ascii="Calibri" w:eastAsia="Times New Roman" w:hAnsi="Calibri" w:cs="Times New Roman"/>
                <w:b/>
                <w:bCs/>
                <w:color w:val="000000"/>
                <w:lang w:eastAsia="en-PH"/>
              </w:rPr>
            </w:pPr>
            <w:r w:rsidRPr="001E4884">
              <w:rPr>
                <w:rFonts w:ascii="Calibri" w:eastAsia="Times New Roman" w:hAnsi="Calibri" w:cs="Times New Roman"/>
                <w:b/>
                <w:bCs/>
                <w:color w:val="000000"/>
                <w:lang w:eastAsia="en-PH"/>
              </w:rPr>
              <w:t>Audited</w:t>
            </w:r>
          </w:p>
        </w:tc>
      </w:tr>
      <w:tr w:rsidR="001E4884" w:rsidRPr="001E4884" w14:paraId="1FBFC214" w14:textId="77777777" w:rsidTr="001E4884">
        <w:trPr>
          <w:trHeight w:val="288"/>
        </w:trPr>
        <w:tc>
          <w:tcPr>
            <w:tcW w:w="2977" w:type="dxa"/>
            <w:tcBorders>
              <w:top w:val="nil"/>
              <w:left w:val="nil"/>
              <w:bottom w:val="nil"/>
              <w:right w:val="nil"/>
            </w:tcBorders>
            <w:shd w:val="clear" w:color="auto" w:fill="auto"/>
            <w:noWrap/>
            <w:vAlign w:val="bottom"/>
            <w:hideMark/>
          </w:tcPr>
          <w:p w14:paraId="29E20B3E" w14:textId="77777777" w:rsidR="001E4884" w:rsidRPr="001E4884" w:rsidRDefault="001E4884" w:rsidP="001E4884">
            <w:pPr>
              <w:spacing w:after="0" w:line="240" w:lineRule="auto"/>
              <w:jc w:val="right"/>
              <w:rPr>
                <w:rFonts w:ascii="Calibri" w:eastAsia="Times New Roman" w:hAnsi="Calibri" w:cs="Times New Roman"/>
                <w:b/>
                <w:bCs/>
                <w:color w:val="000000"/>
                <w:lang w:eastAsia="en-PH"/>
              </w:rPr>
            </w:pPr>
          </w:p>
        </w:tc>
        <w:tc>
          <w:tcPr>
            <w:tcW w:w="1938" w:type="dxa"/>
            <w:tcBorders>
              <w:top w:val="nil"/>
              <w:left w:val="nil"/>
              <w:bottom w:val="nil"/>
              <w:right w:val="nil"/>
            </w:tcBorders>
            <w:shd w:val="clear" w:color="auto" w:fill="auto"/>
            <w:noWrap/>
            <w:vAlign w:val="center"/>
            <w:hideMark/>
          </w:tcPr>
          <w:p w14:paraId="5FD61845" w14:textId="48FD21AB" w:rsidR="001E4884" w:rsidRPr="001E4884" w:rsidRDefault="008E046F" w:rsidP="001E4884">
            <w:pPr>
              <w:spacing w:after="0" w:line="240" w:lineRule="auto"/>
              <w:jc w:val="right"/>
              <w:rPr>
                <w:rFonts w:ascii="Calibri" w:eastAsia="Times New Roman" w:hAnsi="Calibri" w:cs="Times New Roman"/>
                <w:b/>
                <w:bCs/>
                <w:color w:val="000000"/>
                <w:lang w:eastAsia="en-PH"/>
              </w:rPr>
            </w:pPr>
            <w:r>
              <w:rPr>
                <w:rFonts w:ascii="Calibri" w:eastAsia="Times New Roman" w:hAnsi="Calibri" w:cs="Times New Roman"/>
                <w:b/>
                <w:bCs/>
                <w:color w:val="000000"/>
                <w:lang w:eastAsia="en-PH"/>
              </w:rPr>
              <w:t>Dec 31</w:t>
            </w:r>
            <w:r w:rsidR="001E4884" w:rsidRPr="001E4884">
              <w:rPr>
                <w:rFonts w:ascii="Calibri" w:eastAsia="Times New Roman" w:hAnsi="Calibri" w:cs="Times New Roman"/>
                <w:b/>
                <w:bCs/>
                <w:color w:val="000000"/>
                <w:lang w:eastAsia="en-PH"/>
              </w:rPr>
              <w:t>, 2018</w:t>
            </w:r>
          </w:p>
        </w:tc>
        <w:tc>
          <w:tcPr>
            <w:tcW w:w="2410" w:type="dxa"/>
            <w:tcBorders>
              <w:top w:val="nil"/>
              <w:left w:val="nil"/>
              <w:bottom w:val="nil"/>
              <w:right w:val="nil"/>
            </w:tcBorders>
            <w:shd w:val="clear" w:color="auto" w:fill="auto"/>
            <w:noWrap/>
            <w:vAlign w:val="center"/>
            <w:hideMark/>
          </w:tcPr>
          <w:p w14:paraId="336E0B99" w14:textId="77777777" w:rsidR="001E4884" w:rsidRPr="001E4884" w:rsidRDefault="001E4884" w:rsidP="001E4884">
            <w:pPr>
              <w:spacing w:after="0" w:line="240" w:lineRule="auto"/>
              <w:jc w:val="right"/>
              <w:rPr>
                <w:rFonts w:ascii="Calibri" w:eastAsia="Times New Roman" w:hAnsi="Calibri" w:cs="Times New Roman"/>
                <w:b/>
                <w:bCs/>
                <w:color w:val="000000"/>
                <w:lang w:eastAsia="en-PH"/>
              </w:rPr>
            </w:pPr>
            <w:r w:rsidRPr="001E4884">
              <w:rPr>
                <w:rFonts w:ascii="Calibri" w:eastAsia="Times New Roman" w:hAnsi="Calibri" w:cs="Times New Roman"/>
                <w:b/>
                <w:bCs/>
                <w:color w:val="000000"/>
                <w:lang w:eastAsia="en-PH"/>
              </w:rPr>
              <w:t>Dec 31, 2017</w:t>
            </w:r>
          </w:p>
        </w:tc>
      </w:tr>
      <w:tr w:rsidR="001E4884" w:rsidRPr="001E4884" w14:paraId="57C9F578" w14:textId="77777777" w:rsidTr="003E30CD">
        <w:trPr>
          <w:trHeight w:val="288"/>
        </w:trPr>
        <w:tc>
          <w:tcPr>
            <w:tcW w:w="2977" w:type="dxa"/>
            <w:tcBorders>
              <w:top w:val="nil"/>
              <w:left w:val="nil"/>
              <w:bottom w:val="nil"/>
              <w:right w:val="nil"/>
            </w:tcBorders>
            <w:shd w:val="clear" w:color="auto" w:fill="auto"/>
            <w:noWrap/>
            <w:vAlign w:val="center"/>
            <w:hideMark/>
          </w:tcPr>
          <w:p w14:paraId="1A853669" w14:textId="77777777" w:rsidR="001E4884" w:rsidRPr="001E4884" w:rsidRDefault="001E4884" w:rsidP="001E4884">
            <w:pPr>
              <w:spacing w:after="0" w:line="240" w:lineRule="auto"/>
              <w:jc w:val="both"/>
              <w:rPr>
                <w:rFonts w:ascii="Calibri" w:eastAsia="Times New Roman" w:hAnsi="Calibri" w:cs="Times New Roman"/>
                <w:color w:val="000000"/>
                <w:lang w:eastAsia="en-PH"/>
              </w:rPr>
            </w:pPr>
            <w:r w:rsidRPr="001E4884">
              <w:rPr>
                <w:rFonts w:ascii="Calibri" w:eastAsia="Times New Roman" w:hAnsi="Calibri" w:cs="Times New Roman"/>
                <w:color w:val="000000"/>
                <w:lang w:eastAsia="en-PH"/>
              </w:rPr>
              <w:t>Current Assets</w:t>
            </w:r>
          </w:p>
        </w:tc>
        <w:tc>
          <w:tcPr>
            <w:tcW w:w="1938" w:type="dxa"/>
            <w:tcBorders>
              <w:top w:val="nil"/>
              <w:left w:val="nil"/>
              <w:bottom w:val="nil"/>
              <w:right w:val="nil"/>
            </w:tcBorders>
            <w:shd w:val="clear" w:color="auto" w:fill="auto"/>
            <w:noWrap/>
            <w:vAlign w:val="center"/>
          </w:tcPr>
          <w:p w14:paraId="03851604" w14:textId="456BA9A8"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11,368</w:t>
            </w:r>
          </w:p>
        </w:tc>
        <w:tc>
          <w:tcPr>
            <w:tcW w:w="2410" w:type="dxa"/>
            <w:tcBorders>
              <w:top w:val="nil"/>
              <w:left w:val="nil"/>
              <w:bottom w:val="nil"/>
              <w:right w:val="nil"/>
            </w:tcBorders>
            <w:shd w:val="clear" w:color="auto" w:fill="auto"/>
            <w:noWrap/>
            <w:vAlign w:val="center"/>
          </w:tcPr>
          <w:p w14:paraId="23AA4FF3" w14:textId="2E268C54"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11,748</w:t>
            </w:r>
          </w:p>
        </w:tc>
      </w:tr>
      <w:tr w:rsidR="001E4884" w:rsidRPr="001E4884" w14:paraId="3F947DF1" w14:textId="77777777" w:rsidTr="003E30CD">
        <w:trPr>
          <w:trHeight w:val="294"/>
        </w:trPr>
        <w:tc>
          <w:tcPr>
            <w:tcW w:w="2977" w:type="dxa"/>
            <w:tcBorders>
              <w:top w:val="nil"/>
              <w:left w:val="nil"/>
              <w:bottom w:val="single" w:sz="8" w:space="0" w:color="auto"/>
              <w:right w:val="nil"/>
            </w:tcBorders>
            <w:shd w:val="clear" w:color="auto" w:fill="auto"/>
            <w:noWrap/>
            <w:vAlign w:val="center"/>
            <w:hideMark/>
          </w:tcPr>
          <w:p w14:paraId="79DACE6A" w14:textId="77777777" w:rsidR="001E4884" w:rsidRPr="001E4884" w:rsidRDefault="001E4884" w:rsidP="001E4884">
            <w:pPr>
              <w:spacing w:after="0" w:line="240" w:lineRule="auto"/>
              <w:jc w:val="both"/>
              <w:rPr>
                <w:rFonts w:ascii="Calibri" w:eastAsia="Times New Roman" w:hAnsi="Calibri" w:cs="Times New Roman"/>
                <w:color w:val="000000"/>
                <w:lang w:eastAsia="en-PH"/>
              </w:rPr>
            </w:pPr>
            <w:r w:rsidRPr="001E4884">
              <w:rPr>
                <w:rFonts w:ascii="Calibri" w:eastAsia="Times New Roman" w:hAnsi="Calibri" w:cs="Times New Roman"/>
                <w:color w:val="000000"/>
                <w:lang w:eastAsia="en-PH"/>
              </w:rPr>
              <w:t>Noncurrent Assets*</w:t>
            </w:r>
          </w:p>
        </w:tc>
        <w:tc>
          <w:tcPr>
            <w:tcW w:w="1938" w:type="dxa"/>
            <w:tcBorders>
              <w:top w:val="nil"/>
              <w:left w:val="nil"/>
              <w:bottom w:val="single" w:sz="8" w:space="0" w:color="auto"/>
              <w:right w:val="nil"/>
            </w:tcBorders>
            <w:shd w:val="clear" w:color="auto" w:fill="auto"/>
            <w:noWrap/>
            <w:vAlign w:val="center"/>
          </w:tcPr>
          <w:p w14:paraId="5A2D9FD5" w14:textId="1D40E06B"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6,134</w:t>
            </w:r>
          </w:p>
        </w:tc>
        <w:tc>
          <w:tcPr>
            <w:tcW w:w="2410" w:type="dxa"/>
            <w:tcBorders>
              <w:top w:val="nil"/>
              <w:left w:val="nil"/>
              <w:bottom w:val="single" w:sz="8" w:space="0" w:color="auto"/>
              <w:right w:val="nil"/>
            </w:tcBorders>
            <w:shd w:val="clear" w:color="auto" w:fill="auto"/>
            <w:noWrap/>
            <w:vAlign w:val="center"/>
          </w:tcPr>
          <w:p w14:paraId="23599ACD" w14:textId="28733D83"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4,276</w:t>
            </w:r>
          </w:p>
        </w:tc>
      </w:tr>
      <w:tr w:rsidR="001E4884" w:rsidRPr="001E4884" w14:paraId="486901A5" w14:textId="77777777" w:rsidTr="003E30CD">
        <w:trPr>
          <w:trHeight w:val="288"/>
        </w:trPr>
        <w:tc>
          <w:tcPr>
            <w:tcW w:w="2977" w:type="dxa"/>
            <w:tcBorders>
              <w:top w:val="nil"/>
              <w:left w:val="nil"/>
              <w:bottom w:val="nil"/>
              <w:right w:val="nil"/>
            </w:tcBorders>
            <w:shd w:val="clear" w:color="auto" w:fill="auto"/>
            <w:noWrap/>
            <w:vAlign w:val="center"/>
            <w:hideMark/>
          </w:tcPr>
          <w:p w14:paraId="3EB06DBA" w14:textId="77777777" w:rsidR="001E4884" w:rsidRPr="001E4884" w:rsidRDefault="001E4884" w:rsidP="001E4884">
            <w:pPr>
              <w:spacing w:after="0" w:line="240" w:lineRule="auto"/>
              <w:jc w:val="both"/>
              <w:rPr>
                <w:rFonts w:ascii="Calibri" w:eastAsia="Times New Roman" w:hAnsi="Calibri" w:cs="Times New Roman"/>
                <w:b/>
                <w:bCs/>
                <w:color w:val="000000"/>
                <w:lang w:eastAsia="en-PH"/>
              </w:rPr>
            </w:pPr>
            <w:r w:rsidRPr="001E4884">
              <w:rPr>
                <w:rFonts w:ascii="Calibri" w:eastAsia="Times New Roman" w:hAnsi="Calibri" w:cs="Times New Roman"/>
                <w:b/>
                <w:bCs/>
                <w:color w:val="000000"/>
                <w:lang w:eastAsia="en-PH"/>
              </w:rPr>
              <w:t>Total Assets</w:t>
            </w:r>
          </w:p>
        </w:tc>
        <w:tc>
          <w:tcPr>
            <w:tcW w:w="1938" w:type="dxa"/>
            <w:tcBorders>
              <w:top w:val="nil"/>
              <w:left w:val="nil"/>
              <w:bottom w:val="nil"/>
              <w:right w:val="nil"/>
            </w:tcBorders>
            <w:shd w:val="clear" w:color="auto" w:fill="auto"/>
            <w:noWrap/>
            <w:vAlign w:val="center"/>
          </w:tcPr>
          <w:p w14:paraId="116E56FC" w14:textId="52C8E329" w:rsidR="001E4884" w:rsidRPr="001E4884" w:rsidRDefault="003E30CD" w:rsidP="001E4884">
            <w:pPr>
              <w:spacing w:after="0" w:line="240" w:lineRule="auto"/>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17,502</w:t>
            </w:r>
          </w:p>
        </w:tc>
        <w:tc>
          <w:tcPr>
            <w:tcW w:w="2410" w:type="dxa"/>
            <w:tcBorders>
              <w:top w:val="nil"/>
              <w:left w:val="nil"/>
              <w:bottom w:val="nil"/>
              <w:right w:val="nil"/>
            </w:tcBorders>
            <w:shd w:val="clear" w:color="auto" w:fill="auto"/>
            <w:noWrap/>
            <w:vAlign w:val="center"/>
          </w:tcPr>
          <w:p w14:paraId="510BAFED" w14:textId="7780C980" w:rsidR="001E4884" w:rsidRPr="001E4884" w:rsidRDefault="003E30CD" w:rsidP="001E4884">
            <w:pPr>
              <w:spacing w:after="0" w:line="240" w:lineRule="auto"/>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16,024</w:t>
            </w:r>
          </w:p>
        </w:tc>
      </w:tr>
      <w:tr w:rsidR="001E4884" w:rsidRPr="001E4884" w14:paraId="530D2DEC" w14:textId="77777777" w:rsidTr="003E30CD">
        <w:trPr>
          <w:trHeight w:val="288"/>
        </w:trPr>
        <w:tc>
          <w:tcPr>
            <w:tcW w:w="2977" w:type="dxa"/>
            <w:tcBorders>
              <w:top w:val="nil"/>
              <w:left w:val="nil"/>
              <w:bottom w:val="nil"/>
              <w:right w:val="nil"/>
            </w:tcBorders>
            <w:shd w:val="clear" w:color="auto" w:fill="auto"/>
            <w:noWrap/>
            <w:vAlign w:val="center"/>
            <w:hideMark/>
          </w:tcPr>
          <w:p w14:paraId="7F70FC04" w14:textId="77777777" w:rsidR="001E4884" w:rsidRPr="001E4884" w:rsidRDefault="001E4884" w:rsidP="001E4884">
            <w:pPr>
              <w:spacing w:after="0" w:line="240" w:lineRule="auto"/>
              <w:jc w:val="both"/>
              <w:rPr>
                <w:rFonts w:ascii="Calibri" w:eastAsia="Times New Roman" w:hAnsi="Calibri" w:cs="Times New Roman"/>
                <w:color w:val="000000"/>
                <w:lang w:eastAsia="en-PH"/>
              </w:rPr>
            </w:pPr>
            <w:r w:rsidRPr="001E4884">
              <w:rPr>
                <w:rFonts w:ascii="Calibri" w:eastAsia="Times New Roman" w:hAnsi="Calibri" w:cs="Times New Roman"/>
                <w:color w:val="000000"/>
                <w:lang w:eastAsia="en-PH"/>
              </w:rPr>
              <w:t>Current Liabilities</w:t>
            </w:r>
          </w:p>
        </w:tc>
        <w:tc>
          <w:tcPr>
            <w:tcW w:w="1938" w:type="dxa"/>
            <w:tcBorders>
              <w:top w:val="nil"/>
              <w:left w:val="nil"/>
              <w:bottom w:val="nil"/>
              <w:right w:val="nil"/>
            </w:tcBorders>
            <w:shd w:val="clear" w:color="auto" w:fill="auto"/>
            <w:noWrap/>
            <w:vAlign w:val="center"/>
          </w:tcPr>
          <w:p w14:paraId="2C8126EE" w14:textId="09A3EB5C"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4,171</w:t>
            </w:r>
          </w:p>
        </w:tc>
        <w:tc>
          <w:tcPr>
            <w:tcW w:w="2410" w:type="dxa"/>
            <w:tcBorders>
              <w:top w:val="nil"/>
              <w:left w:val="nil"/>
              <w:bottom w:val="nil"/>
              <w:right w:val="nil"/>
            </w:tcBorders>
            <w:shd w:val="clear" w:color="auto" w:fill="auto"/>
            <w:noWrap/>
            <w:vAlign w:val="center"/>
          </w:tcPr>
          <w:p w14:paraId="71BF4D80" w14:textId="7636CD65"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3,725</w:t>
            </w:r>
          </w:p>
        </w:tc>
      </w:tr>
      <w:tr w:rsidR="001E4884" w:rsidRPr="001E4884" w14:paraId="164998B0" w14:textId="77777777" w:rsidTr="003E30CD">
        <w:trPr>
          <w:trHeight w:val="294"/>
        </w:trPr>
        <w:tc>
          <w:tcPr>
            <w:tcW w:w="2977" w:type="dxa"/>
            <w:tcBorders>
              <w:top w:val="nil"/>
              <w:left w:val="nil"/>
              <w:bottom w:val="single" w:sz="8" w:space="0" w:color="auto"/>
              <w:right w:val="nil"/>
            </w:tcBorders>
            <w:shd w:val="clear" w:color="auto" w:fill="auto"/>
            <w:noWrap/>
            <w:vAlign w:val="center"/>
            <w:hideMark/>
          </w:tcPr>
          <w:p w14:paraId="3BA78B7B" w14:textId="77777777" w:rsidR="001E4884" w:rsidRPr="001E4884" w:rsidRDefault="001E4884" w:rsidP="001E4884">
            <w:pPr>
              <w:spacing w:after="0" w:line="240" w:lineRule="auto"/>
              <w:jc w:val="both"/>
              <w:rPr>
                <w:rFonts w:ascii="Calibri" w:eastAsia="Times New Roman" w:hAnsi="Calibri" w:cs="Times New Roman"/>
                <w:color w:val="000000"/>
                <w:lang w:eastAsia="en-PH"/>
              </w:rPr>
            </w:pPr>
            <w:r w:rsidRPr="001E4884">
              <w:rPr>
                <w:rFonts w:ascii="Calibri" w:eastAsia="Times New Roman" w:hAnsi="Calibri" w:cs="Times New Roman"/>
                <w:color w:val="000000"/>
                <w:lang w:eastAsia="en-PH"/>
              </w:rPr>
              <w:t>Noncurrent Liabilities</w:t>
            </w:r>
          </w:p>
        </w:tc>
        <w:tc>
          <w:tcPr>
            <w:tcW w:w="1938" w:type="dxa"/>
            <w:tcBorders>
              <w:top w:val="nil"/>
              <w:left w:val="nil"/>
              <w:bottom w:val="single" w:sz="8" w:space="0" w:color="auto"/>
              <w:right w:val="nil"/>
            </w:tcBorders>
            <w:shd w:val="clear" w:color="auto" w:fill="auto"/>
            <w:noWrap/>
            <w:vAlign w:val="center"/>
          </w:tcPr>
          <w:p w14:paraId="259EB1DF" w14:textId="6F54AB1E"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118</w:t>
            </w:r>
          </w:p>
        </w:tc>
        <w:tc>
          <w:tcPr>
            <w:tcW w:w="2410" w:type="dxa"/>
            <w:tcBorders>
              <w:top w:val="nil"/>
              <w:left w:val="nil"/>
              <w:bottom w:val="single" w:sz="8" w:space="0" w:color="auto"/>
              <w:right w:val="nil"/>
            </w:tcBorders>
            <w:shd w:val="clear" w:color="auto" w:fill="auto"/>
            <w:noWrap/>
            <w:vAlign w:val="center"/>
          </w:tcPr>
          <w:p w14:paraId="541A76BA" w14:textId="2CE87460"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381</w:t>
            </w:r>
          </w:p>
        </w:tc>
      </w:tr>
      <w:tr w:rsidR="001E4884" w:rsidRPr="001E4884" w14:paraId="58A277B2" w14:textId="77777777" w:rsidTr="003E30CD">
        <w:trPr>
          <w:trHeight w:val="288"/>
        </w:trPr>
        <w:tc>
          <w:tcPr>
            <w:tcW w:w="2977" w:type="dxa"/>
            <w:tcBorders>
              <w:top w:val="nil"/>
              <w:left w:val="nil"/>
              <w:bottom w:val="nil"/>
              <w:right w:val="nil"/>
            </w:tcBorders>
            <w:shd w:val="clear" w:color="auto" w:fill="auto"/>
            <w:noWrap/>
            <w:vAlign w:val="center"/>
            <w:hideMark/>
          </w:tcPr>
          <w:p w14:paraId="2073469F" w14:textId="77777777" w:rsidR="001E4884" w:rsidRPr="001E4884" w:rsidRDefault="001E4884" w:rsidP="001E4884">
            <w:pPr>
              <w:spacing w:after="0" w:line="240" w:lineRule="auto"/>
              <w:jc w:val="both"/>
              <w:rPr>
                <w:rFonts w:ascii="Calibri" w:eastAsia="Times New Roman" w:hAnsi="Calibri" w:cs="Times New Roman"/>
                <w:b/>
                <w:bCs/>
                <w:color w:val="000000"/>
                <w:lang w:eastAsia="en-PH"/>
              </w:rPr>
            </w:pPr>
            <w:r w:rsidRPr="001E4884">
              <w:rPr>
                <w:rFonts w:ascii="Calibri" w:eastAsia="Times New Roman" w:hAnsi="Calibri" w:cs="Times New Roman"/>
                <w:b/>
                <w:bCs/>
                <w:color w:val="000000"/>
                <w:lang w:eastAsia="en-PH"/>
              </w:rPr>
              <w:t>Total Liabilities</w:t>
            </w:r>
          </w:p>
        </w:tc>
        <w:tc>
          <w:tcPr>
            <w:tcW w:w="1938" w:type="dxa"/>
            <w:tcBorders>
              <w:top w:val="nil"/>
              <w:left w:val="nil"/>
              <w:bottom w:val="nil"/>
              <w:right w:val="nil"/>
            </w:tcBorders>
            <w:shd w:val="clear" w:color="auto" w:fill="auto"/>
            <w:noWrap/>
            <w:vAlign w:val="center"/>
          </w:tcPr>
          <w:p w14:paraId="0168FB76" w14:textId="14BA0A6C" w:rsidR="001E4884" w:rsidRPr="001E4884" w:rsidRDefault="003E30CD" w:rsidP="001E4884">
            <w:pPr>
              <w:spacing w:after="0" w:line="240" w:lineRule="auto"/>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4,290</w:t>
            </w:r>
          </w:p>
        </w:tc>
        <w:tc>
          <w:tcPr>
            <w:tcW w:w="2410" w:type="dxa"/>
            <w:tcBorders>
              <w:top w:val="nil"/>
              <w:left w:val="nil"/>
              <w:bottom w:val="nil"/>
              <w:right w:val="nil"/>
            </w:tcBorders>
            <w:shd w:val="clear" w:color="auto" w:fill="auto"/>
            <w:noWrap/>
            <w:vAlign w:val="center"/>
          </w:tcPr>
          <w:p w14:paraId="33838C19" w14:textId="1131F2B9" w:rsidR="001E4884" w:rsidRPr="001E4884" w:rsidRDefault="003E30CD" w:rsidP="001E4884">
            <w:pPr>
              <w:spacing w:after="0" w:line="240" w:lineRule="auto"/>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4,106</w:t>
            </w:r>
          </w:p>
        </w:tc>
      </w:tr>
      <w:tr w:rsidR="001E4884" w:rsidRPr="001E4884" w14:paraId="742AE3D5" w14:textId="77777777" w:rsidTr="003E30CD">
        <w:trPr>
          <w:trHeight w:val="288"/>
        </w:trPr>
        <w:tc>
          <w:tcPr>
            <w:tcW w:w="2977" w:type="dxa"/>
            <w:tcBorders>
              <w:top w:val="nil"/>
              <w:left w:val="nil"/>
              <w:bottom w:val="nil"/>
              <w:right w:val="nil"/>
            </w:tcBorders>
            <w:shd w:val="clear" w:color="auto" w:fill="auto"/>
            <w:noWrap/>
            <w:vAlign w:val="center"/>
            <w:hideMark/>
          </w:tcPr>
          <w:p w14:paraId="6BD6BA1F" w14:textId="77777777" w:rsidR="001E4884" w:rsidRPr="001E4884" w:rsidRDefault="001E4884" w:rsidP="001E4884">
            <w:pPr>
              <w:spacing w:after="0" w:line="240" w:lineRule="auto"/>
              <w:jc w:val="both"/>
              <w:rPr>
                <w:rFonts w:ascii="Calibri" w:eastAsia="Times New Roman" w:hAnsi="Calibri" w:cs="Times New Roman"/>
                <w:color w:val="000000"/>
                <w:lang w:eastAsia="en-PH"/>
              </w:rPr>
            </w:pPr>
            <w:r w:rsidRPr="001E4884">
              <w:rPr>
                <w:rFonts w:ascii="Calibri" w:eastAsia="Times New Roman" w:hAnsi="Calibri" w:cs="Times New Roman"/>
                <w:color w:val="000000"/>
                <w:lang w:eastAsia="en-PH"/>
              </w:rPr>
              <w:t>Capital Stock</w:t>
            </w:r>
          </w:p>
        </w:tc>
        <w:tc>
          <w:tcPr>
            <w:tcW w:w="1938" w:type="dxa"/>
            <w:tcBorders>
              <w:top w:val="nil"/>
              <w:left w:val="nil"/>
              <w:bottom w:val="nil"/>
              <w:right w:val="nil"/>
            </w:tcBorders>
            <w:shd w:val="clear" w:color="auto" w:fill="auto"/>
            <w:noWrap/>
            <w:vAlign w:val="center"/>
          </w:tcPr>
          <w:p w14:paraId="27AF2050" w14:textId="333E691E"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4,100</w:t>
            </w:r>
          </w:p>
        </w:tc>
        <w:tc>
          <w:tcPr>
            <w:tcW w:w="2410" w:type="dxa"/>
            <w:tcBorders>
              <w:top w:val="nil"/>
              <w:left w:val="nil"/>
              <w:bottom w:val="nil"/>
              <w:right w:val="nil"/>
            </w:tcBorders>
            <w:shd w:val="clear" w:color="auto" w:fill="auto"/>
            <w:noWrap/>
            <w:vAlign w:val="center"/>
          </w:tcPr>
          <w:p w14:paraId="04776A05" w14:textId="0EA6E8FA"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4,100</w:t>
            </w:r>
          </w:p>
        </w:tc>
      </w:tr>
      <w:tr w:rsidR="001E4884" w:rsidRPr="001E4884" w14:paraId="7CDA22D7" w14:textId="77777777" w:rsidTr="003E30CD">
        <w:trPr>
          <w:trHeight w:val="288"/>
        </w:trPr>
        <w:tc>
          <w:tcPr>
            <w:tcW w:w="2977" w:type="dxa"/>
            <w:tcBorders>
              <w:top w:val="nil"/>
              <w:left w:val="nil"/>
              <w:bottom w:val="nil"/>
              <w:right w:val="nil"/>
            </w:tcBorders>
            <w:shd w:val="clear" w:color="auto" w:fill="auto"/>
            <w:noWrap/>
            <w:vAlign w:val="center"/>
            <w:hideMark/>
          </w:tcPr>
          <w:p w14:paraId="2C734E0D" w14:textId="77777777" w:rsidR="001E4884" w:rsidRPr="001E4884" w:rsidRDefault="001E4884" w:rsidP="001E4884">
            <w:pPr>
              <w:spacing w:after="0" w:line="240" w:lineRule="auto"/>
              <w:jc w:val="both"/>
              <w:rPr>
                <w:rFonts w:ascii="Calibri" w:eastAsia="Times New Roman" w:hAnsi="Calibri" w:cs="Times New Roman"/>
                <w:color w:val="000000"/>
                <w:lang w:eastAsia="en-PH"/>
              </w:rPr>
            </w:pPr>
            <w:r w:rsidRPr="001E4884">
              <w:rPr>
                <w:rFonts w:ascii="Calibri" w:eastAsia="Times New Roman" w:hAnsi="Calibri" w:cs="Times New Roman"/>
                <w:color w:val="000000"/>
                <w:lang w:eastAsia="en-PH"/>
              </w:rPr>
              <w:t>Additional Paid-in Capital</w:t>
            </w:r>
          </w:p>
        </w:tc>
        <w:tc>
          <w:tcPr>
            <w:tcW w:w="1938" w:type="dxa"/>
            <w:tcBorders>
              <w:top w:val="nil"/>
              <w:left w:val="nil"/>
              <w:bottom w:val="nil"/>
              <w:right w:val="nil"/>
            </w:tcBorders>
            <w:shd w:val="clear" w:color="auto" w:fill="auto"/>
            <w:noWrap/>
            <w:vAlign w:val="center"/>
          </w:tcPr>
          <w:p w14:paraId="5E86234F" w14:textId="5A0FBC98"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5,374</w:t>
            </w:r>
          </w:p>
        </w:tc>
        <w:tc>
          <w:tcPr>
            <w:tcW w:w="2410" w:type="dxa"/>
            <w:tcBorders>
              <w:top w:val="nil"/>
              <w:left w:val="nil"/>
              <w:bottom w:val="nil"/>
              <w:right w:val="nil"/>
            </w:tcBorders>
            <w:shd w:val="clear" w:color="auto" w:fill="auto"/>
            <w:noWrap/>
            <w:vAlign w:val="center"/>
          </w:tcPr>
          <w:p w14:paraId="5B057EB1" w14:textId="54D72A3A"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5,374</w:t>
            </w:r>
          </w:p>
        </w:tc>
      </w:tr>
      <w:tr w:rsidR="001E4884" w:rsidRPr="001E4884" w14:paraId="432DBDA2" w14:textId="77777777" w:rsidTr="003E30CD">
        <w:trPr>
          <w:trHeight w:val="288"/>
        </w:trPr>
        <w:tc>
          <w:tcPr>
            <w:tcW w:w="2977" w:type="dxa"/>
            <w:tcBorders>
              <w:top w:val="nil"/>
              <w:left w:val="nil"/>
              <w:bottom w:val="nil"/>
              <w:right w:val="nil"/>
            </w:tcBorders>
            <w:shd w:val="clear" w:color="auto" w:fill="auto"/>
            <w:noWrap/>
            <w:vAlign w:val="center"/>
            <w:hideMark/>
          </w:tcPr>
          <w:p w14:paraId="57778A70" w14:textId="64F1B281" w:rsidR="001E4884" w:rsidRPr="001E4884" w:rsidRDefault="001E4884" w:rsidP="001E4884">
            <w:pPr>
              <w:spacing w:after="0" w:line="240" w:lineRule="auto"/>
              <w:jc w:val="both"/>
              <w:rPr>
                <w:rFonts w:ascii="Calibri" w:eastAsia="Times New Roman" w:hAnsi="Calibri" w:cs="Times New Roman"/>
                <w:color w:val="000000"/>
                <w:lang w:eastAsia="en-PH"/>
              </w:rPr>
            </w:pPr>
            <w:r w:rsidRPr="001E4884">
              <w:rPr>
                <w:rFonts w:ascii="Calibri" w:eastAsia="Times New Roman" w:hAnsi="Calibri" w:cs="Times New Roman"/>
                <w:color w:val="000000"/>
                <w:lang w:eastAsia="en-PH"/>
              </w:rPr>
              <w:t xml:space="preserve">Other Comprehensive </w:t>
            </w:r>
            <w:r w:rsidR="00F53521">
              <w:rPr>
                <w:rFonts w:ascii="Calibri" w:eastAsia="Times New Roman" w:hAnsi="Calibri" w:cs="Times New Roman"/>
                <w:color w:val="000000"/>
                <w:lang w:eastAsia="en-PH"/>
              </w:rPr>
              <w:t>Income</w:t>
            </w:r>
          </w:p>
        </w:tc>
        <w:tc>
          <w:tcPr>
            <w:tcW w:w="1938" w:type="dxa"/>
            <w:tcBorders>
              <w:top w:val="nil"/>
              <w:left w:val="nil"/>
              <w:bottom w:val="nil"/>
              <w:right w:val="nil"/>
            </w:tcBorders>
            <w:shd w:val="clear" w:color="auto" w:fill="auto"/>
            <w:noWrap/>
            <w:vAlign w:val="center"/>
          </w:tcPr>
          <w:p w14:paraId="2006E01A" w14:textId="73314424"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83</w:t>
            </w:r>
          </w:p>
        </w:tc>
        <w:tc>
          <w:tcPr>
            <w:tcW w:w="2410" w:type="dxa"/>
            <w:tcBorders>
              <w:top w:val="nil"/>
              <w:left w:val="nil"/>
              <w:bottom w:val="nil"/>
              <w:right w:val="nil"/>
            </w:tcBorders>
            <w:shd w:val="clear" w:color="auto" w:fill="auto"/>
            <w:noWrap/>
            <w:vAlign w:val="center"/>
          </w:tcPr>
          <w:p w14:paraId="42D0111F" w14:textId="357E755B"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173</w:t>
            </w:r>
          </w:p>
        </w:tc>
      </w:tr>
      <w:tr w:rsidR="001E4884" w:rsidRPr="001E4884" w14:paraId="68212245" w14:textId="77777777" w:rsidTr="003E30CD">
        <w:trPr>
          <w:trHeight w:val="294"/>
        </w:trPr>
        <w:tc>
          <w:tcPr>
            <w:tcW w:w="2977" w:type="dxa"/>
            <w:tcBorders>
              <w:top w:val="nil"/>
              <w:left w:val="nil"/>
              <w:bottom w:val="single" w:sz="8" w:space="0" w:color="auto"/>
              <w:right w:val="nil"/>
            </w:tcBorders>
            <w:shd w:val="clear" w:color="auto" w:fill="auto"/>
            <w:noWrap/>
            <w:vAlign w:val="center"/>
            <w:hideMark/>
          </w:tcPr>
          <w:p w14:paraId="4CD0D4DB" w14:textId="77777777" w:rsidR="001E4884" w:rsidRPr="001E4884" w:rsidRDefault="001E4884" w:rsidP="001E4884">
            <w:pPr>
              <w:spacing w:after="0" w:line="240" w:lineRule="auto"/>
              <w:jc w:val="both"/>
              <w:rPr>
                <w:rFonts w:ascii="Calibri" w:eastAsia="Times New Roman" w:hAnsi="Calibri" w:cs="Times New Roman"/>
                <w:color w:val="000000"/>
                <w:lang w:eastAsia="en-PH"/>
              </w:rPr>
            </w:pPr>
            <w:r w:rsidRPr="001E4884">
              <w:rPr>
                <w:rFonts w:ascii="Calibri" w:eastAsia="Times New Roman" w:hAnsi="Calibri" w:cs="Times New Roman"/>
                <w:color w:val="000000"/>
                <w:lang w:eastAsia="en-PH"/>
              </w:rPr>
              <w:t>Retained Earnings</w:t>
            </w:r>
          </w:p>
        </w:tc>
        <w:tc>
          <w:tcPr>
            <w:tcW w:w="1938" w:type="dxa"/>
            <w:tcBorders>
              <w:top w:val="nil"/>
              <w:left w:val="nil"/>
              <w:bottom w:val="single" w:sz="8" w:space="0" w:color="auto"/>
              <w:right w:val="nil"/>
            </w:tcBorders>
            <w:shd w:val="clear" w:color="auto" w:fill="auto"/>
            <w:noWrap/>
            <w:vAlign w:val="center"/>
          </w:tcPr>
          <w:p w14:paraId="0282A9B5" w14:textId="080414C4"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3,656</w:t>
            </w:r>
          </w:p>
        </w:tc>
        <w:tc>
          <w:tcPr>
            <w:tcW w:w="2410" w:type="dxa"/>
            <w:tcBorders>
              <w:top w:val="nil"/>
              <w:left w:val="nil"/>
              <w:bottom w:val="single" w:sz="8" w:space="0" w:color="auto"/>
              <w:right w:val="nil"/>
            </w:tcBorders>
            <w:shd w:val="clear" w:color="auto" w:fill="auto"/>
            <w:noWrap/>
            <w:vAlign w:val="center"/>
          </w:tcPr>
          <w:p w14:paraId="69B5378E" w14:textId="592F6F3A" w:rsidR="001E4884" w:rsidRPr="001E4884" w:rsidRDefault="003E30CD" w:rsidP="001E4884">
            <w:pPr>
              <w:spacing w:after="0" w:line="240" w:lineRule="auto"/>
              <w:jc w:val="right"/>
              <w:rPr>
                <w:rFonts w:ascii="Calibri" w:eastAsia="Times New Roman" w:hAnsi="Calibri" w:cs="Times New Roman"/>
                <w:color w:val="000000"/>
                <w:lang w:eastAsia="en-PH"/>
              </w:rPr>
            </w:pPr>
            <w:r>
              <w:rPr>
                <w:rFonts w:ascii="Calibri" w:eastAsia="Times New Roman" w:hAnsi="Calibri" w:cs="Times New Roman"/>
                <w:color w:val="000000"/>
                <w:lang w:eastAsia="en-PH"/>
              </w:rPr>
              <w:t>2,272</w:t>
            </w:r>
          </w:p>
        </w:tc>
      </w:tr>
      <w:tr w:rsidR="001E4884" w:rsidRPr="001E4884" w14:paraId="6B722BCA" w14:textId="77777777" w:rsidTr="003E30CD">
        <w:trPr>
          <w:trHeight w:val="294"/>
        </w:trPr>
        <w:tc>
          <w:tcPr>
            <w:tcW w:w="2977" w:type="dxa"/>
            <w:tcBorders>
              <w:top w:val="nil"/>
              <w:left w:val="nil"/>
              <w:bottom w:val="single" w:sz="8" w:space="0" w:color="auto"/>
              <w:right w:val="nil"/>
            </w:tcBorders>
            <w:shd w:val="clear" w:color="auto" w:fill="auto"/>
            <w:noWrap/>
            <w:vAlign w:val="center"/>
            <w:hideMark/>
          </w:tcPr>
          <w:p w14:paraId="5A2CA02F" w14:textId="77777777" w:rsidR="001E4884" w:rsidRPr="001E4884" w:rsidRDefault="001E4884" w:rsidP="001E4884">
            <w:pPr>
              <w:spacing w:after="0" w:line="240" w:lineRule="auto"/>
              <w:jc w:val="both"/>
              <w:rPr>
                <w:rFonts w:ascii="Calibri" w:eastAsia="Times New Roman" w:hAnsi="Calibri" w:cs="Times New Roman"/>
                <w:b/>
                <w:bCs/>
                <w:color w:val="000000"/>
                <w:lang w:eastAsia="en-PH"/>
              </w:rPr>
            </w:pPr>
            <w:r w:rsidRPr="001E4884">
              <w:rPr>
                <w:rFonts w:ascii="Calibri" w:eastAsia="Times New Roman" w:hAnsi="Calibri" w:cs="Times New Roman"/>
                <w:b/>
                <w:bCs/>
                <w:color w:val="000000"/>
                <w:lang w:eastAsia="en-PH"/>
              </w:rPr>
              <w:t>Total Equity</w:t>
            </w:r>
          </w:p>
        </w:tc>
        <w:tc>
          <w:tcPr>
            <w:tcW w:w="1938" w:type="dxa"/>
            <w:tcBorders>
              <w:top w:val="nil"/>
              <w:left w:val="nil"/>
              <w:bottom w:val="single" w:sz="8" w:space="0" w:color="auto"/>
              <w:right w:val="nil"/>
            </w:tcBorders>
            <w:shd w:val="clear" w:color="auto" w:fill="auto"/>
            <w:noWrap/>
            <w:vAlign w:val="center"/>
          </w:tcPr>
          <w:p w14:paraId="7D0A1339" w14:textId="25138624" w:rsidR="001E4884" w:rsidRPr="001E4884" w:rsidRDefault="003E30CD" w:rsidP="001E4884">
            <w:pPr>
              <w:spacing w:after="0" w:line="240" w:lineRule="auto"/>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13,212</w:t>
            </w:r>
          </w:p>
        </w:tc>
        <w:tc>
          <w:tcPr>
            <w:tcW w:w="2410" w:type="dxa"/>
            <w:tcBorders>
              <w:top w:val="nil"/>
              <w:left w:val="nil"/>
              <w:bottom w:val="single" w:sz="8" w:space="0" w:color="auto"/>
              <w:right w:val="nil"/>
            </w:tcBorders>
            <w:shd w:val="clear" w:color="auto" w:fill="auto"/>
            <w:noWrap/>
            <w:vAlign w:val="center"/>
          </w:tcPr>
          <w:p w14:paraId="06905DFB" w14:textId="2B1E15D6" w:rsidR="001E4884" w:rsidRPr="001E4884" w:rsidRDefault="003E30CD" w:rsidP="001E4884">
            <w:pPr>
              <w:spacing w:after="0" w:line="240" w:lineRule="auto"/>
              <w:jc w:val="right"/>
              <w:rPr>
                <w:rFonts w:ascii="Calibri" w:eastAsia="Times New Roman" w:hAnsi="Calibri" w:cs="Times New Roman"/>
                <w:b/>
                <w:color w:val="000000"/>
                <w:lang w:eastAsia="en-PH"/>
              </w:rPr>
            </w:pPr>
            <w:r>
              <w:rPr>
                <w:rFonts w:ascii="Calibri" w:eastAsia="Times New Roman" w:hAnsi="Calibri" w:cs="Times New Roman"/>
                <w:b/>
                <w:color w:val="000000"/>
                <w:lang w:eastAsia="en-PH"/>
              </w:rPr>
              <w:t>11,918</w:t>
            </w:r>
          </w:p>
        </w:tc>
      </w:tr>
    </w:tbl>
    <w:p w14:paraId="736CE404" w14:textId="77777777" w:rsidR="00522C12" w:rsidRDefault="00522C12" w:rsidP="000E4889">
      <w:pPr>
        <w:spacing w:after="0"/>
        <w:jc w:val="both"/>
      </w:pPr>
    </w:p>
    <w:sectPr w:rsidR="00522C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E29"/>
    <w:multiLevelType w:val="hybridMultilevel"/>
    <w:tmpl w:val="2C4236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1A"/>
    <w:rsid w:val="00013800"/>
    <w:rsid w:val="000246EF"/>
    <w:rsid w:val="00061B01"/>
    <w:rsid w:val="000A1ABF"/>
    <w:rsid w:val="000E4889"/>
    <w:rsid w:val="00141F4C"/>
    <w:rsid w:val="00193150"/>
    <w:rsid w:val="001B5A3C"/>
    <w:rsid w:val="001D7A95"/>
    <w:rsid w:val="001E4884"/>
    <w:rsid w:val="00232667"/>
    <w:rsid w:val="00232F43"/>
    <w:rsid w:val="002763B2"/>
    <w:rsid w:val="00306A0A"/>
    <w:rsid w:val="003306B3"/>
    <w:rsid w:val="00335065"/>
    <w:rsid w:val="00353FDF"/>
    <w:rsid w:val="003625C6"/>
    <w:rsid w:val="00396295"/>
    <w:rsid w:val="003B049D"/>
    <w:rsid w:val="003E30CD"/>
    <w:rsid w:val="003E7DB7"/>
    <w:rsid w:val="0042332F"/>
    <w:rsid w:val="004A407C"/>
    <w:rsid w:val="004C2175"/>
    <w:rsid w:val="004E128C"/>
    <w:rsid w:val="00522C12"/>
    <w:rsid w:val="00524D22"/>
    <w:rsid w:val="00525AFA"/>
    <w:rsid w:val="0053181A"/>
    <w:rsid w:val="00564B8F"/>
    <w:rsid w:val="00565321"/>
    <w:rsid w:val="005810E0"/>
    <w:rsid w:val="005B3720"/>
    <w:rsid w:val="005E58A8"/>
    <w:rsid w:val="0060583F"/>
    <w:rsid w:val="0061089F"/>
    <w:rsid w:val="0062766B"/>
    <w:rsid w:val="006362F4"/>
    <w:rsid w:val="006439DA"/>
    <w:rsid w:val="00652C48"/>
    <w:rsid w:val="006D4CCF"/>
    <w:rsid w:val="006D5111"/>
    <w:rsid w:val="006F30C4"/>
    <w:rsid w:val="007060E1"/>
    <w:rsid w:val="00771CE9"/>
    <w:rsid w:val="007C53AC"/>
    <w:rsid w:val="007D13AB"/>
    <w:rsid w:val="007E3549"/>
    <w:rsid w:val="0080172F"/>
    <w:rsid w:val="00843069"/>
    <w:rsid w:val="00843E43"/>
    <w:rsid w:val="008672CE"/>
    <w:rsid w:val="0088022C"/>
    <w:rsid w:val="00881826"/>
    <w:rsid w:val="008E046F"/>
    <w:rsid w:val="008F1199"/>
    <w:rsid w:val="008F270D"/>
    <w:rsid w:val="00911847"/>
    <w:rsid w:val="00911EF8"/>
    <w:rsid w:val="00912191"/>
    <w:rsid w:val="00936394"/>
    <w:rsid w:val="00977771"/>
    <w:rsid w:val="009955DA"/>
    <w:rsid w:val="009B1C77"/>
    <w:rsid w:val="009E4511"/>
    <w:rsid w:val="009F10FD"/>
    <w:rsid w:val="00A36DE3"/>
    <w:rsid w:val="00A66A07"/>
    <w:rsid w:val="00AB1AF7"/>
    <w:rsid w:val="00B03023"/>
    <w:rsid w:val="00B065C1"/>
    <w:rsid w:val="00B317DB"/>
    <w:rsid w:val="00B60561"/>
    <w:rsid w:val="00B637E0"/>
    <w:rsid w:val="00B82F1E"/>
    <w:rsid w:val="00BA4C5F"/>
    <w:rsid w:val="00BF0787"/>
    <w:rsid w:val="00C262F3"/>
    <w:rsid w:val="00C408DB"/>
    <w:rsid w:val="00CC03F4"/>
    <w:rsid w:val="00CF6613"/>
    <w:rsid w:val="00CF6E89"/>
    <w:rsid w:val="00D0024F"/>
    <w:rsid w:val="00D20187"/>
    <w:rsid w:val="00D21B8C"/>
    <w:rsid w:val="00D458F0"/>
    <w:rsid w:val="00D5640C"/>
    <w:rsid w:val="00D63227"/>
    <w:rsid w:val="00D72E3A"/>
    <w:rsid w:val="00DA5B7F"/>
    <w:rsid w:val="00DC2007"/>
    <w:rsid w:val="00DE459A"/>
    <w:rsid w:val="00E0052E"/>
    <w:rsid w:val="00EA4AE0"/>
    <w:rsid w:val="00ED241A"/>
    <w:rsid w:val="00F26C6D"/>
    <w:rsid w:val="00F274E5"/>
    <w:rsid w:val="00F53521"/>
    <w:rsid w:val="00F55A50"/>
    <w:rsid w:val="00FA6C8C"/>
    <w:rsid w:val="00FD31E1"/>
    <w:rsid w:val="00FF6CF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1B53"/>
  <w15:docId w15:val="{529CB810-DCCC-41F1-AB46-BE141CF0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DB"/>
    <w:pPr>
      <w:ind w:left="720"/>
      <w:contextualSpacing/>
    </w:pPr>
  </w:style>
  <w:style w:type="table" w:customStyle="1" w:styleId="PlainTable31">
    <w:name w:val="Plain Table 31"/>
    <w:basedOn w:val="TableNormal"/>
    <w:uiPriority w:val="43"/>
    <w:rsid w:val="00522C12"/>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0A1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WDI</dc:creator>
  <cp:lastModifiedBy>ABC</cp:lastModifiedBy>
  <cp:revision>2</cp:revision>
  <cp:lastPrinted>2019-03-07T05:10:00Z</cp:lastPrinted>
  <dcterms:created xsi:type="dcterms:W3CDTF">2019-03-11T03:26:00Z</dcterms:created>
  <dcterms:modified xsi:type="dcterms:W3CDTF">2019-03-11T03:26:00Z</dcterms:modified>
</cp:coreProperties>
</file>